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485"/>
        <w:gridCol w:w="5278"/>
        <w:gridCol w:w="294"/>
        <w:gridCol w:w="219"/>
        <w:gridCol w:w="418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BF6163" w:rsidR="00093CA9" w:rsidRDefault="00096B4C"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27C37A8" w:rsidR="00093CA9" w:rsidRDefault="00E55423" w:rsidP="00093CA9">
            <w:r w:rsidRPr="00E55423">
              <w:t>Regulation (EU) 2019/2033 of the European Parliament and of the Council of 27 November 2019 on the prudential requirements of investment firms (“IFR")</w:t>
            </w:r>
            <w:r w:rsidR="00023D5A">
              <w:t>.</w:t>
            </w:r>
            <w:r w:rsidRPr="00E55423">
              <w:t>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BC1584">
        <w:trPr>
          <w:trHeight w:val="2512"/>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6A9B5B9" w14:textId="77777777" w:rsidR="0037231F" w:rsidRDefault="0037231F" w:rsidP="0037231F">
            <w:r>
              <w:t xml:space="preserve">IFR – Regulation (EU) 2019/2033 of the European Parliament and of the Council of 27 Novembre 2019 on the prudential requirements of investment firms </w:t>
            </w:r>
            <w:hyperlink r:id="rId17" w:history="1">
              <w:r w:rsidRPr="009F546E">
                <w:rPr>
                  <w:rStyle w:val="Hyperlink"/>
                </w:rPr>
                <w:t>https://web.archive.org/web/20250724101701/https://eur-lex.europa.eu/legal-content/EN/TXT/?uri=CELEX%3A02019R2033-20240109</w:t>
              </w:r>
            </w:hyperlink>
            <w:r>
              <w:t xml:space="preserve"> </w:t>
            </w:r>
          </w:p>
          <w:p w14:paraId="3D995BF4" w14:textId="77777777" w:rsidR="00EF380D" w:rsidRDefault="00EF380D" w:rsidP="0037231F">
            <w:r>
              <w:t xml:space="preserve">IFD – Directive </w:t>
            </w:r>
            <w:r w:rsidRPr="00EF380D">
              <w:t>(EU) 2019/2034 of the European Parliament and of the Council of 27 November 2019 on the prudential supervision of investment firms</w:t>
            </w:r>
            <w:r>
              <w:t xml:space="preserve"> </w:t>
            </w:r>
            <w:hyperlink r:id="rId18" w:history="1">
              <w:r w:rsidRPr="009F546E">
                <w:rPr>
                  <w:rStyle w:val="Hyperlink"/>
                </w:rPr>
                <w:t>https://web.archive.org/web/20250714082419/https://eur-lex.europa.eu/eli/dir/2019/2034/oj/eng</w:t>
              </w:r>
            </w:hyperlink>
            <w:r>
              <w:t xml:space="preserve"> </w:t>
            </w:r>
          </w:p>
          <w:p w14:paraId="2C14CE52" w14:textId="6313A360" w:rsidR="00E455EB" w:rsidRDefault="00E455EB" w:rsidP="0037231F">
            <w:r w:rsidRPr="00E455EB">
              <w:t>Commission</w:t>
            </w:r>
            <w:r w:rsidRPr="00722EAB">
              <w:rPr>
                <w:color w:val="000000" w:themeColor="text1"/>
              </w:rPr>
              <w:t xml:space="preserve"> Implementing Regulation (EU) 2021/2284</w:t>
            </w:r>
            <w:r>
              <w:rPr>
                <w:color w:val="000000" w:themeColor="text1"/>
              </w:rPr>
              <w:t xml:space="preserve"> </w:t>
            </w:r>
            <w:hyperlink r:id="rId19" w:history="1">
              <w:r>
                <w:rPr>
                  <w:rStyle w:val="Hyperlink"/>
                  <w:kern w:val="0"/>
                  <w14:ligatures w14:val="none"/>
                </w:rPr>
                <w:t>https://web.archive.org/web/20240629115018/https://eur-lex.europa.eu/legal-content/EN/TXT/?uri=celex%3A32021R2284</w:t>
              </w:r>
            </w:hyperlink>
            <w:r>
              <w:rPr>
                <w:color w:val="000000" w:themeColor="text1"/>
                <w:kern w:val="0"/>
                <w14:ligatures w14:val="none"/>
              </w:rPr>
              <w:t xml:space="preserve"> </w:t>
            </w:r>
            <w:r>
              <w:rPr>
                <w:color w:val="000000" w:themeColor="text1"/>
              </w:rPr>
              <w:t xml:space="preserve"> </w:t>
            </w:r>
          </w:p>
          <w:p w14:paraId="1523C232" w14:textId="2A30BB3B" w:rsidR="004C53CF" w:rsidRDefault="004C53CF" w:rsidP="0037231F">
            <w:r>
              <w:t xml:space="preserve">EBA/REP/2023/34: </w:t>
            </w:r>
            <w:hyperlink r:id="rId20" w:history="1">
              <w:r w:rsidR="00BC1584" w:rsidRPr="00CA6189">
                <w:rPr>
                  <w:rStyle w:val="Hyperlink"/>
                </w:rPr>
                <w:t>https://web.archive.org/web/20250627145058/https://www.eba.europa.eu/sites/default/files/document_library/Publications/Reports/2023/1062711/Report%20on%20the%20role%20of%20environmental%20and%20social%20risks%20in%20the%20prudential%20framework.pdf</w:t>
              </w:r>
            </w:hyperlink>
            <w:r w:rsidR="00BC1584">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8E7882B" w:rsidR="00093CA9" w:rsidRDefault="00A33197"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lastRenderedPageBreak/>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F70BC8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805BEAC" w:rsidR="00093CA9" w:rsidRDefault="001608AD"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77F1A24" w14:textId="77777777" w:rsidR="00B4416A" w:rsidRDefault="00A33197" w:rsidP="00A33197">
            <w:pPr>
              <w:tabs>
                <w:tab w:val="num" w:pos="1440"/>
              </w:tabs>
              <w:jc w:val="both"/>
            </w:pPr>
            <w:r>
              <w:t xml:space="preserve">Regulation (EU) 2019/2033 of the European Parliament and of the Council of 27 Novembre 2019 on the prudential requirements of investment firms (“IFR”) </w:t>
            </w:r>
            <w:r w:rsidRPr="00A33197">
              <w:t>sets out prudential requirements</w:t>
            </w:r>
            <w:r>
              <w:t xml:space="preserve"> </w:t>
            </w:r>
            <w:r w:rsidRPr="00A33197">
              <w:t>and supervisory arrangements for certain categories of investment firms</w:t>
            </w:r>
            <w:r>
              <w:t xml:space="preserve">, i.e., (i) those that </w:t>
            </w:r>
            <w:r w:rsidRPr="00A33197">
              <w:t>are not subject to Regulation (EU) No </w:t>
            </w:r>
            <w:r>
              <w:t>575/2013</w:t>
            </w:r>
            <w:r w:rsidRPr="00A33197">
              <w:t> </w:t>
            </w:r>
            <w:r>
              <w:t>(</w:t>
            </w:r>
            <w:r w:rsidRPr="00A33197">
              <w:t>CRR)  and are sufficiently small and non-interconnected</w:t>
            </w:r>
            <w:r>
              <w:t xml:space="preserve"> (class 3 investment firms), </w:t>
            </w:r>
            <w:r w:rsidRPr="00A33197">
              <w:t>or</w:t>
            </w:r>
            <w:r>
              <w:t xml:space="preserve"> (ii) those that </w:t>
            </w:r>
            <w:r w:rsidRPr="00A33197">
              <w:t>do not fall under either of the two other categories (class 2</w:t>
            </w:r>
            <w:r>
              <w:t xml:space="preserve"> </w:t>
            </w:r>
            <w:r w:rsidRPr="00A33197">
              <w:t>investment firms)</w:t>
            </w:r>
            <w:r>
              <w:t>.</w:t>
            </w:r>
          </w:p>
          <w:p w14:paraId="11FE9E27" w14:textId="77777777" w:rsidR="00B4416A" w:rsidRDefault="00B4416A" w:rsidP="00B4416A">
            <w:pPr>
              <w:tabs>
                <w:tab w:val="num" w:pos="1440"/>
              </w:tabs>
              <w:jc w:val="both"/>
            </w:pPr>
            <w:r>
              <w:t xml:space="preserve">IFR also sets forward disclosure rules for investment firms, which require them to provide annual information on several topics, including their risk management objectives and policies, their governance arrangements, and their </w:t>
            </w:r>
            <w:r w:rsidRPr="00B4416A">
              <w:t>environmental, social and governance risks</w:t>
            </w:r>
            <w:r>
              <w:t>.</w:t>
            </w:r>
          </w:p>
          <w:p w14:paraId="77E54F66" w14:textId="77777777" w:rsidR="004B521D" w:rsidRDefault="004B521D" w:rsidP="00B4416A">
            <w:pPr>
              <w:tabs>
                <w:tab w:val="num" w:pos="1440"/>
              </w:tabs>
              <w:jc w:val="both"/>
              <w:rPr>
                <w:i/>
                <w:iCs/>
              </w:rPr>
            </w:pPr>
            <w:r>
              <w:t>Article 53 of IFR provides that “</w:t>
            </w:r>
            <w:r w:rsidRPr="004B521D">
              <w:rPr>
                <w:i/>
                <w:iCs/>
              </w:rPr>
              <w:t>From 26 December 2022, investment firms which do not meet the criteria referred to in Article 32(4) of Directive (EU) 2019/2034 shall disclose information on environmental, social and governance risks, including physical risks and transition risks, as defined in the report referred to in Article 35 of Directive (EU) 2019/2034.</w:t>
            </w:r>
            <w:r>
              <w:rPr>
                <w:i/>
                <w:iCs/>
              </w:rPr>
              <w:t>”</w:t>
            </w:r>
          </w:p>
          <w:p w14:paraId="30A6A5F7" w14:textId="761DF0BB" w:rsidR="004B521D" w:rsidRPr="004B521D" w:rsidRDefault="004B521D" w:rsidP="004B521D">
            <w:pPr>
              <w:tabs>
                <w:tab w:val="num" w:pos="1440"/>
              </w:tabs>
              <w:jc w:val="both"/>
              <w:rPr>
                <w:i/>
                <w:iCs/>
              </w:rPr>
            </w:pPr>
            <w:r>
              <w:t>Article 34 of IFR also provides that “</w:t>
            </w:r>
            <w:r w:rsidRPr="00D42EFC">
              <w:rPr>
                <w:i/>
                <w:iCs/>
              </w:rPr>
              <w:t>1. </w:t>
            </w:r>
            <w:r w:rsidRPr="004B521D">
              <w:rPr>
                <w:i/>
                <w:iCs/>
              </w:rPr>
              <w:t>EBA, after consulting the European Systemic Risk Board, shall assess, on the basis of available data and the findings of the Commission’s High‐Level Expert Group on Sustainable Finance, whether dedicated prudential treatment of assets exposed to activities associated substantially with environmental or social objectives, in the form of adjusted K‐factors or adjusted K‐factor coefficients, would be justified from a prudential perspective. In particular, EBA shall assess the following:</w:t>
            </w:r>
          </w:p>
          <w:p w14:paraId="6DAC546B" w14:textId="77777777" w:rsidR="004B521D" w:rsidRPr="00D42EFC" w:rsidRDefault="004B521D" w:rsidP="004B521D">
            <w:pPr>
              <w:pStyle w:val="ListParagraph"/>
              <w:numPr>
                <w:ilvl w:val="0"/>
                <w:numId w:val="55"/>
              </w:numPr>
              <w:tabs>
                <w:tab w:val="num" w:pos="1440"/>
              </w:tabs>
              <w:jc w:val="both"/>
              <w:rPr>
                <w:i/>
                <w:iCs/>
              </w:rPr>
            </w:pPr>
            <w:r w:rsidRPr="00D42EFC">
              <w:rPr>
                <w:i/>
                <w:iCs/>
              </w:rPr>
              <w:t>methodological options for assessing the exposures of asset classes to activities substantially associated with environmental or social objectives;</w:t>
            </w:r>
          </w:p>
          <w:p w14:paraId="1C4B2E68" w14:textId="77777777" w:rsidR="004B521D" w:rsidRPr="00D42EFC" w:rsidRDefault="004B521D" w:rsidP="004B521D">
            <w:pPr>
              <w:pStyle w:val="ListParagraph"/>
              <w:numPr>
                <w:ilvl w:val="0"/>
                <w:numId w:val="55"/>
              </w:numPr>
              <w:tabs>
                <w:tab w:val="num" w:pos="1440"/>
              </w:tabs>
              <w:jc w:val="both"/>
              <w:rPr>
                <w:i/>
                <w:iCs/>
              </w:rPr>
            </w:pPr>
            <w:r w:rsidRPr="00D42EFC">
              <w:rPr>
                <w:i/>
                <w:iCs/>
              </w:rPr>
              <w:t>specific risk profiles of assets exposed to activities associated substantially with environmental or social objectives;</w:t>
            </w:r>
          </w:p>
          <w:p w14:paraId="596FFE6C" w14:textId="77777777" w:rsidR="004B521D" w:rsidRPr="00D42EFC" w:rsidRDefault="004B521D" w:rsidP="004B521D">
            <w:pPr>
              <w:pStyle w:val="ListParagraph"/>
              <w:numPr>
                <w:ilvl w:val="0"/>
                <w:numId w:val="55"/>
              </w:numPr>
              <w:tabs>
                <w:tab w:val="num" w:pos="1440"/>
              </w:tabs>
              <w:jc w:val="both"/>
              <w:rPr>
                <w:i/>
                <w:iCs/>
              </w:rPr>
            </w:pPr>
            <w:r w:rsidRPr="004B521D">
              <w:rPr>
                <w:i/>
                <w:iCs/>
              </w:rPr>
              <w:t>risks related to the depreciation of assets due to regulatory changes such as climate change mitigation;</w:t>
            </w:r>
          </w:p>
          <w:p w14:paraId="0386F113" w14:textId="346673AA" w:rsidR="004B521D" w:rsidRPr="004B521D" w:rsidRDefault="004B521D" w:rsidP="004B521D">
            <w:pPr>
              <w:pStyle w:val="ListParagraph"/>
              <w:numPr>
                <w:ilvl w:val="0"/>
                <w:numId w:val="55"/>
              </w:numPr>
              <w:tabs>
                <w:tab w:val="num" w:pos="1440"/>
              </w:tabs>
              <w:jc w:val="both"/>
              <w:rPr>
                <w:i/>
                <w:iCs/>
              </w:rPr>
            </w:pPr>
            <w:r w:rsidRPr="004B521D">
              <w:rPr>
                <w:i/>
                <w:iCs/>
              </w:rPr>
              <w:lastRenderedPageBreak/>
              <w:t>potential effects of dedicated prudential treatment of assets exposed to activities associated substantially with environmental or social objectives on financial stability.</w:t>
            </w:r>
          </w:p>
          <w:p w14:paraId="71F0B557" w14:textId="6A2A7C59" w:rsidR="004B521D" w:rsidRPr="004B521D" w:rsidRDefault="004B521D" w:rsidP="004B521D">
            <w:pPr>
              <w:tabs>
                <w:tab w:val="num" w:pos="1440"/>
              </w:tabs>
              <w:jc w:val="both"/>
              <w:rPr>
                <w:i/>
                <w:iCs/>
              </w:rPr>
            </w:pPr>
            <w:r w:rsidRPr="004B521D">
              <w:rPr>
                <w:i/>
                <w:iCs/>
              </w:rPr>
              <w:t>2. EBA shall submit a report on its findings to the European Parliament, to the Council and to the Commission by 26 December 2021.</w:t>
            </w:r>
          </w:p>
          <w:p w14:paraId="18257824" w14:textId="3EC5E794" w:rsidR="004B521D" w:rsidRPr="00D42EFC" w:rsidRDefault="004B521D" w:rsidP="00D42EFC">
            <w:pPr>
              <w:tabs>
                <w:tab w:val="num" w:pos="1440"/>
              </w:tabs>
              <w:jc w:val="both"/>
              <w:rPr>
                <w:i/>
                <w:iCs/>
              </w:rPr>
            </w:pPr>
            <w:r w:rsidRPr="004B521D">
              <w:rPr>
                <w:i/>
                <w:iCs/>
              </w:rPr>
              <w:t>3. On the basis of the report referred to in paragraph 2, the Commission shall, if appropriate, submit a legislative proposal to the European Parliament and the Council</w:t>
            </w:r>
            <w:r w:rsidR="00D42EFC">
              <w:rPr>
                <w:i/>
                <w:iCs/>
              </w:rPr>
              <w:t>.”</w:t>
            </w:r>
            <w: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B321814" w:rsidR="00093CA9" w:rsidRDefault="00AD760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BF67989" w:rsidR="00093CA9" w:rsidRPr="00173D7C" w:rsidRDefault="00AD760E"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C353A3D" w:rsidR="00093CA9" w:rsidRPr="00173D7C" w:rsidRDefault="00B4416A" w:rsidP="00093CA9">
            <w:pPr>
              <w:rPr>
                <w:color w:val="000000" w:themeColor="text1"/>
              </w:rPr>
            </w:pPr>
            <w:r>
              <w:rPr>
                <w:color w:val="000000" w:themeColor="text1"/>
              </w:rPr>
              <w:t>2019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2C0379C1" w14:textId="185134DD" w:rsidR="00AD760E" w:rsidRDefault="00AD760E" w:rsidP="00AD760E">
            <w:pPr>
              <w:rPr>
                <w:color w:val="000000" w:themeColor="text1"/>
              </w:rPr>
            </w:pPr>
            <w:r>
              <w:rPr>
                <w:color w:val="000000" w:themeColor="text1"/>
              </w:rPr>
              <w:t>Partial application: 2020</w:t>
            </w:r>
          </w:p>
          <w:p w14:paraId="1A1B9D26" w14:textId="48C7F178" w:rsidR="00AD760E" w:rsidRPr="00587FAE" w:rsidRDefault="00AD760E" w:rsidP="00AD760E">
            <w:pPr>
              <w:rPr>
                <w:color w:val="000000" w:themeColor="text1"/>
              </w:rPr>
            </w:pPr>
            <w:r>
              <w:rPr>
                <w:color w:val="000000" w:themeColor="text1"/>
              </w:rPr>
              <w:t>Full application</w:t>
            </w:r>
            <w:r w:rsidR="00B4416A">
              <w:rPr>
                <w:color w:val="000000" w:themeColor="text1"/>
              </w:rPr>
              <w:t xml:space="preserve"> (in particular of the provisions relating to the relevant governance domains)</w:t>
            </w:r>
            <w:r>
              <w:rPr>
                <w:color w:val="000000" w:themeColor="text1"/>
              </w:rPr>
              <w:t>: 2021</w:t>
            </w:r>
            <w:r w:rsidR="00B4416A">
              <w:rPr>
                <w:color w:val="000000" w:themeColor="text1"/>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34CA300" w:rsidR="00093CA9" w:rsidRDefault="00AD760E"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82413E4" w:rsidR="00093CA9" w:rsidRPr="006B7B0D" w:rsidRDefault="00265129" w:rsidP="00093CA9">
            <w:r>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B1BD352" w:rsidR="00093CA9" w:rsidRPr="006B7B0D" w:rsidRDefault="00265129"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70D41EB" w:rsidR="00093CA9" w:rsidRPr="006B7B0D" w:rsidRDefault="00265129" w:rsidP="00093CA9">
            <w:r>
              <w:t xml:space="preserve">European Banking Authority (EBA)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11F61BD1" w:rsidR="00093CA9" w:rsidRPr="006B7B0D" w:rsidRDefault="00265129"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4C5A2A0"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lastRenderedPageBreak/>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2AA8A91"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6B19EB14" w14:textId="0AEAC8CD" w:rsidR="00093CA9" w:rsidRPr="00BF2AD1" w:rsidRDefault="00BF2AD1" w:rsidP="00BF2AD1">
            <w:pPr>
              <w:jc w:val="both"/>
            </w:pPr>
            <w:r w:rsidRPr="00BF2AD1">
              <w:t xml:space="preserve">Article </w:t>
            </w:r>
            <w:r>
              <w:t>34</w:t>
            </w:r>
            <w:r w:rsidRPr="00BF2AD1">
              <w:t xml:space="preserve"> of IFR</w:t>
            </w:r>
            <w:r>
              <w:t xml:space="preserve"> mandated </w:t>
            </w:r>
            <w:r w:rsidRPr="00BF2AD1">
              <w:t xml:space="preserve">the European Banking Authority (EBA), after consulting the European Systemic Risk Board, </w:t>
            </w:r>
            <w:r>
              <w:t>to</w:t>
            </w:r>
            <w:r w:rsidRPr="00BF2AD1">
              <w:t xml:space="preserve"> assess, on the basis of available data and the findings of the Commission’s High‐Level Expert Group on Sustainable Finance, whether dedicated prudential treatment of assets exposed to activities associated substantially with environmental or social objectives, in the form of adjusted K‐factors or adjusted K‐factor coefficients, would be justified from a prudential perspective.</w:t>
            </w:r>
          </w:p>
          <w:p w14:paraId="341C8976" w14:textId="77777777" w:rsidR="004C53CF" w:rsidRDefault="00BF2AD1" w:rsidP="004C53CF">
            <w:pPr>
              <w:jc w:val="both"/>
            </w:pPr>
            <w:r>
              <w:t xml:space="preserve">The EBA was mandated to submit a report on its findings to the European Parliament, to the Council and to the Commission by 26 December 2021. </w:t>
            </w:r>
            <w:r w:rsidR="004C53CF">
              <w:t xml:space="preserve">The EBA ultimately published a joint Report targeting both CRR and IFR (EBA/REP/2023/34). </w:t>
            </w:r>
            <w:r>
              <w:t xml:space="preserve">On the basis of that report, the Commission </w:t>
            </w:r>
            <w:r w:rsidR="004C53CF">
              <w:t>is</w:t>
            </w:r>
            <w:r>
              <w:t xml:space="preserve"> mandated to, if appropriate, submit a legislative proposal to the European Parliament and the Council.</w:t>
            </w:r>
          </w:p>
          <w:p w14:paraId="42D06D03" w14:textId="3F5A4941" w:rsidR="004C53CF" w:rsidRDefault="004C53CF" w:rsidP="004C53CF">
            <w:pPr>
              <w:jc w:val="both"/>
            </w:pPr>
            <w:r>
              <w:t xml:space="preserve">Both the EBA and the </w:t>
            </w:r>
            <w:r w:rsidR="00B41F9B">
              <w:t xml:space="preserve">European </w:t>
            </w:r>
            <w:r>
              <w:t>Commission were thus given some powers with respect to implementation of IFR. However, there are no enforcement measures taken at EU level. Pursuant to Article 18 of Directive 2019/2034 (the “IFD”), M</w:t>
            </w:r>
            <w:r w:rsidRPr="004C53CF">
              <w:t xml:space="preserve">ember States shall lay down rules on administrative sanctions and other administrative measures and ensure that their competent authorities have the power to impose such sanctions and measures in respect of breaches of national provisions transposing </w:t>
            </w:r>
            <w:r>
              <w:t xml:space="preserve">IFD and IFR. </w:t>
            </w:r>
            <w:r w:rsidR="00B41F9B">
              <w:t xml:space="preserve">Thus, neither the EBA or European Commission may directly enforce the provisions of IFR.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06FDB52"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E3DC85C" w:rsidR="00093CA9" w:rsidRDefault="00B41F9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33C36BA" w14:textId="1685EF8A" w:rsidR="00B41F9B" w:rsidRPr="00BF2AD1" w:rsidRDefault="00B41F9B" w:rsidP="00B41F9B">
            <w:pPr>
              <w:jc w:val="both"/>
            </w:pPr>
            <w:r>
              <w:t xml:space="preserve">With respect to ESG-related aspects, </w:t>
            </w:r>
            <w:r w:rsidRPr="00BF2AD1">
              <w:t xml:space="preserve">Article </w:t>
            </w:r>
            <w:r>
              <w:t>34</w:t>
            </w:r>
            <w:r w:rsidRPr="00BF2AD1">
              <w:t xml:space="preserve"> of IFR</w:t>
            </w:r>
            <w:r>
              <w:t xml:space="preserve"> mandated </w:t>
            </w:r>
            <w:r w:rsidRPr="00BF2AD1">
              <w:t xml:space="preserve">the European Banking Authority (EBA), after consulting the European Systemic Risk Board, </w:t>
            </w:r>
            <w:r>
              <w:t>to</w:t>
            </w:r>
            <w:r w:rsidRPr="00BF2AD1">
              <w:t xml:space="preserve"> assess, on the basis of available data and the findings of the Commission’s High‐Level Expert Group on Sustainable Finance, whether dedicated prudential treatment of assets exposed to activities associated substantially with environmental or social objectives, in the form of adjusted K‐factors or adjusted K‐factor coefficients, would be justified from a prudential perspective.</w:t>
            </w:r>
          </w:p>
          <w:p w14:paraId="2C2128DB" w14:textId="74662879" w:rsidR="00093CA9" w:rsidRPr="00B41F9B" w:rsidRDefault="00B41F9B" w:rsidP="00B41F9B">
            <w:pPr>
              <w:jc w:val="both"/>
            </w:pPr>
            <w:r>
              <w:t>The EBA was mandated to submit a report on its findings to the European Parliament, to the Council and to the Commission by 26 December 2021. The EBA ultimately published a joint Report targeting both CRR and IFR (EBA/REP/2023/34). On the basis of that report, the Commission is mandated to, if appropriate, submit a legislative proposal to the European Parliament and the Council.</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2B433B81" w:rsidR="00CF5268" w:rsidRDefault="00B41F9B"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D4E8A72" w:rsidR="00CF5268" w:rsidRDefault="00B41F9B"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922154C" w:rsidR="00CF5268" w:rsidRDefault="00B41F9B"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0B97F54E" w:rsidR="00CF5268" w:rsidRDefault="00B41F9B" w:rsidP="00DD3144">
            <w:r>
              <w:t>X</w:t>
            </w:r>
          </w:p>
        </w:tc>
      </w:tr>
      <w:tr w:rsidR="00B41F9B" w14:paraId="3DD8D1F6" w14:textId="77777777" w:rsidTr="00DD3144">
        <w:trPr>
          <w:trHeight w:val="24"/>
        </w:trPr>
        <w:tc>
          <w:tcPr>
            <w:tcW w:w="1066" w:type="dxa"/>
            <w:vAlign w:val="center"/>
          </w:tcPr>
          <w:p w14:paraId="51D3ED26" w14:textId="1D9A9659" w:rsidR="00B41F9B" w:rsidRDefault="00B41F9B" w:rsidP="00B41F9B">
            <w:r>
              <w:t>1.1.5</w:t>
            </w:r>
          </w:p>
        </w:tc>
        <w:tc>
          <w:tcPr>
            <w:tcW w:w="5034" w:type="dxa"/>
            <w:gridSpan w:val="3"/>
            <w:shd w:val="clear" w:color="auto" w:fill="DEEAF6" w:themeFill="accent5" w:themeFillTint="33"/>
            <w:vAlign w:val="center"/>
          </w:tcPr>
          <w:p w14:paraId="0CDB74B1" w14:textId="33A36BED" w:rsidR="00B41F9B" w:rsidRDefault="00B41F9B" w:rsidP="00B41F9B">
            <w:r>
              <w:t>State-owned companies</w:t>
            </w:r>
          </w:p>
        </w:tc>
        <w:tc>
          <w:tcPr>
            <w:tcW w:w="1446" w:type="dxa"/>
            <w:gridSpan w:val="3"/>
            <w:vAlign w:val="center"/>
          </w:tcPr>
          <w:p w14:paraId="5A1861AC" w14:textId="77777777" w:rsidR="00B41F9B" w:rsidRDefault="00B41F9B" w:rsidP="00B41F9B"/>
        </w:tc>
        <w:tc>
          <w:tcPr>
            <w:tcW w:w="1447" w:type="dxa"/>
            <w:vAlign w:val="center"/>
          </w:tcPr>
          <w:p w14:paraId="7467E63D" w14:textId="77777777" w:rsidR="00B41F9B" w:rsidRDefault="00B41F9B" w:rsidP="00B41F9B"/>
        </w:tc>
        <w:tc>
          <w:tcPr>
            <w:tcW w:w="1447" w:type="dxa"/>
            <w:vAlign w:val="center"/>
          </w:tcPr>
          <w:p w14:paraId="4A3DBF18" w14:textId="15F974BE" w:rsidR="00B41F9B" w:rsidRDefault="00B41F9B" w:rsidP="00B41F9B">
            <w:r>
              <w:t>X</w:t>
            </w:r>
          </w:p>
        </w:tc>
      </w:tr>
      <w:tr w:rsidR="00B41F9B" w14:paraId="5933B650" w14:textId="77777777" w:rsidTr="00DD3144">
        <w:trPr>
          <w:trHeight w:val="300"/>
        </w:trPr>
        <w:tc>
          <w:tcPr>
            <w:tcW w:w="1066" w:type="dxa"/>
            <w:vAlign w:val="center"/>
          </w:tcPr>
          <w:p w14:paraId="3F20E62C" w14:textId="64067FD6" w:rsidR="00B41F9B" w:rsidRDefault="00B41F9B" w:rsidP="00B41F9B">
            <w:r>
              <w:t>1.1.6</w:t>
            </w:r>
          </w:p>
        </w:tc>
        <w:tc>
          <w:tcPr>
            <w:tcW w:w="5034" w:type="dxa"/>
            <w:gridSpan w:val="3"/>
            <w:shd w:val="clear" w:color="auto" w:fill="DEEAF6" w:themeFill="accent5" w:themeFillTint="33"/>
            <w:vAlign w:val="center"/>
          </w:tcPr>
          <w:p w14:paraId="5CEC1BB4" w14:textId="3E5FCDE6" w:rsidR="00B41F9B" w:rsidRDefault="00B41F9B" w:rsidP="00B41F9B">
            <w:r>
              <w:t>Not-for-profit organisations</w:t>
            </w:r>
          </w:p>
        </w:tc>
        <w:tc>
          <w:tcPr>
            <w:tcW w:w="1446" w:type="dxa"/>
            <w:gridSpan w:val="3"/>
            <w:vAlign w:val="center"/>
          </w:tcPr>
          <w:p w14:paraId="4CE654CC" w14:textId="7C6D882F" w:rsidR="00B41F9B" w:rsidRDefault="00B41F9B" w:rsidP="00B41F9B"/>
        </w:tc>
        <w:tc>
          <w:tcPr>
            <w:tcW w:w="1447" w:type="dxa"/>
            <w:vAlign w:val="center"/>
          </w:tcPr>
          <w:p w14:paraId="697C122A" w14:textId="57FE067F" w:rsidR="00B41F9B" w:rsidRDefault="00B41F9B" w:rsidP="00B41F9B"/>
        </w:tc>
        <w:tc>
          <w:tcPr>
            <w:tcW w:w="1447" w:type="dxa"/>
            <w:vAlign w:val="center"/>
          </w:tcPr>
          <w:p w14:paraId="5D69C390" w14:textId="1E0053E0" w:rsidR="00B41F9B" w:rsidRDefault="00B41F9B" w:rsidP="00B41F9B">
            <w:r>
              <w:t>X</w:t>
            </w:r>
          </w:p>
        </w:tc>
      </w:tr>
      <w:tr w:rsidR="00B41F9B" w14:paraId="0CCF15AA" w14:textId="77777777" w:rsidTr="00DD3144">
        <w:trPr>
          <w:trHeight w:val="24"/>
        </w:trPr>
        <w:tc>
          <w:tcPr>
            <w:tcW w:w="1066" w:type="dxa"/>
            <w:vAlign w:val="center"/>
          </w:tcPr>
          <w:p w14:paraId="41FBA6D4" w14:textId="5B268235" w:rsidR="00B41F9B" w:rsidRDefault="00B41F9B" w:rsidP="00B41F9B">
            <w:r>
              <w:t>1.1.7</w:t>
            </w:r>
          </w:p>
        </w:tc>
        <w:tc>
          <w:tcPr>
            <w:tcW w:w="5034" w:type="dxa"/>
            <w:gridSpan w:val="3"/>
            <w:shd w:val="clear" w:color="auto" w:fill="DEEAF6" w:themeFill="accent5" w:themeFillTint="33"/>
            <w:vAlign w:val="center"/>
          </w:tcPr>
          <w:p w14:paraId="7F4B5F2C" w14:textId="300F0CA9" w:rsidR="00B41F9B" w:rsidRDefault="00B41F9B" w:rsidP="00B41F9B">
            <w:r>
              <w:t>Government agencies and/or departments (supranational)</w:t>
            </w:r>
          </w:p>
        </w:tc>
        <w:tc>
          <w:tcPr>
            <w:tcW w:w="1446" w:type="dxa"/>
            <w:gridSpan w:val="3"/>
            <w:vAlign w:val="center"/>
          </w:tcPr>
          <w:p w14:paraId="098F1D97" w14:textId="77777777" w:rsidR="00B41F9B" w:rsidRDefault="00B41F9B" w:rsidP="00B41F9B"/>
        </w:tc>
        <w:tc>
          <w:tcPr>
            <w:tcW w:w="1447" w:type="dxa"/>
            <w:vAlign w:val="center"/>
          </w:tcPr>
          <w:p w14:paraId="526ECE0C" w14:textId="77777777" w:rsidR="00B41F9B" w:rsidRDefault="00B41F9B" w:rsidP="00B41F9B"/>
        </w:tc>
        <w:tc>
          <w:tcPr>
            <w:tcW w:w="1447" w:type="dxa"/>
            <w:vAlign w:val="center"/>
          </w:tcPr>
          <w:p w14:paraId="6E3BF266" w14:textId="0D9E6A5B" w:rsidR="00B41F9B" w:rsidRDefault="00B41F9B" w:rsidP="00B41F9B">
            <w:r>
              <w:t>X</w:t>
            </w:r>
          </w:p>
        </w:tc>
      </w:tr>
      <w:tr w:rsidR="00B41F9B" w14:paraId="00487250" w14:textId="77777777" w:rsidTr="00DD3144">
        <w:trPr>
          <w:trHeight w:val="300"/>
        </w:trPr>
        <w:tc>
          <w:tcPr>
            <w:tcW w:w="1066" w:type="dxa"/>
            <w:vAlign w:val="center"/>
          </w:tcPr>
          <w:p w14:paraId="504DA92C" w14:textId="67E0C53D" w:rsidR="00B41F9B" w:rsidRDefault="00B41F9B" w:rsidP="00B41F9B">
            <w:r>
              <w:t>1.1.8</w:t>
            </w:r>
          </w:p>
        </w:tc>
        <w:tc>
          <w:tcPr>
            <w:tcW w:w="5034" w:type="dxa"/>
            <w:gridSpan w:val="3"/>
            <w:shd w:val="clear" w:color="auto" w:fill="DEEAF6" w:themeFill="accent5" w:themeFillTint="33"/>
            <w:vAlign w:val="center"/>
          </w:tcPr>
          <w:p w14:paraId="59CE89F1" w14:textId="17995535" w:rsidR="00B41F9B" w:rsidRDefault="00B41F9B" w:rsidP="00B41F9B">
            <w:r>
              <w:t>Government agencies and/or departments (national)</w:t>
            </w:r>
          </w:p>
        </w:tc>
        <w:tc>
          <w:tcPr>
            <w:tcW w:w="1446" w:type="dxa"/>
            <w:gridSpan w:val="3"/>
            <w:vAlign w:val="center"/>
          </w:tcPr>
          <w:p w14:paraId="4EF6CA82" w14:textId="443D54E9" w:rsidR="00B41F9B" w:rsidRDefault="00B41F9B" w:rsidP="00B41F9B"/>
        </w:tc>
        <w:tc>
          <w:tcPr>
            <w:tcW w:w="1447" w:type="dxa"/>
            <w:vAlign w:val="center"/>
          </w:tcPr>
          <w:p w14:paraId="7D630605" w14:textId="7463B165" w:rsidR="00B41F9B" w:rsidRDefault="00B41F9B" w:rsidP="00B41F9B"/>
        </w:tc>
        <w:tc>
          <w:tcPr>
            <w:tcW w:w="1447" w:type="dxa"/>
            <w:vAlign w:val="center"/>
          </w:tcPr>
          <w:p w14:paraId="78F26697" w14:textId="1162DE75" w:rsidR="00B41F9B" w:rsidRDefault="00B41F9B" w:rsidP="00B41F9B">
            <w:r>
              <w:t>X</w:t>
            </w:r>
          </w:p>
        </w:tc>
      </w:tr>
      <w:tr w:rsidR="00B41F9B" w14:paraId="50C3E90A" w14:textId="77777777" w:rsidTr="00DD3144">
        <w:trPr>
          <w:trHeight w:val="300"/>
        </w:trPr>
        <w:tc>
          <w:tcPr>
            <w:tcW w:w="1066" w:type="dxa"/>
            <w:vAlign w:val="center"/>
          </w:tcPr>
          <w:p w14:paraId="75A6736C" w14:textId="1348F23A" w:rsidR="00B41F9B" w:rsidRDefault="00B41F9B" w:rsidP="00B41F9B">
            <w:r>
              <w:t>1.1.9</w:t>
            </w:r>
          </w:p>
        </w:tc>
        <w:tc>
          <w:tcPr>
            <w:tcW w:w="5034" w:type="dxa"/>
            <w:gridSpan w:val="3"/>
            <w:shd w:val="clear" w:color="auto" w:fill="DEEAF6" w:themeFill="accent5" w:themeFillTint="33"/>
            <w:vAlign w:val="center"/>
          </w:tcPr>
          <w:p w14:paraId="53295936" w14:textId="0576D940" w:rsidR="00B41F9B" w:rsidRDefault="00B41F9B" w:rsidP="00B41F9B">
            <w:r>
              <w:t>Government agencies and/or departments (regional - e.g. state, province, region, metropolitan region)</w:t>
            </w:r>
          </w:p>
        </w:tc>
        <w:tc>
          <w:tcPr>
            <w:tcW w:w="1446" w:type="dxa"/>
            <w:gridSpan w:val="3"/>
            <w:vAlign w:val="center"/>
          </w:tcPr>
          <w:p w14:paraId="7074A6C3" w14:textId="12374F99" w:rsidR="00B41F9B" w:rsidRDefault="00B41F9B" w:rsidP="00B41F9B"/>
        </w:tc>
        <w:tc>
          <w:tcPr>
            <w:tcW w:w="1447" w:type="dxa"/>
            <w:vAlign w:val="center"/>
          </w:tcPr>
          <w:p w14:paraId="5AFB0A97" w14:textId="7E66824F" w:rsidR="00B41F9B" w:rsidRDefault="00B41F9B" w:rsidP="00B41F9B"/>
        </w:tc>
        <w:tc>
          <w:tcPr>
            <w:tcW w:w="1447" w:type="dxa"/>
            <w:vAlign w:val="center"/>
          </w:tcPr>
          <w:p w14:paraId="7A06765B" w14:textId="18FCE73A" w:rsidR="00B41F9B" w:rsidRDefault="00B41F9B" w:rsidP="00B41F9B">
            <w:r>
              <w:t>X</w:t>
            </w:r>
          </w:p>
        </w:tc>
      </w:tr>
      <w:tr w:rsidR="00B41F9B" w14:paraId="55860032" w14:textId="77777777" w:rsidTr="00DD3144">
        <w:trPr>
          <w:trHeight w:val="300"/>
        </w:trPr>
        <w:tc>
          <w:tcPr>
            <w:tcW w:w="1066" w:type="dxa"/>
            <w:vAlign w:val="center"/>
          </w:tcPr>
          <w:p w14:paraId="143FD0E3" w14:textId="0E11D2F7" w:rsidR="00B41F9B" w:rsidRDefault="00B41F9B" w:rsidP="00B41F9B">
            <w:r>
              <w:t>1.1.10</w:t>
            </w:r>
          </w:p>
        </w:tc>
        <w:tc>
          <w:tcPr>
            <w:tcW w:w="5034" w:type="dxa"/>
            <w:gridSpan w:val="3"/>
            <w:shd w:val="clear" w:color="auto" w:fill="DEEAF6" w:themeFill="accent5" w:themeFillTint="33"/>
            <w:vAlign w:val="center"/>
          </w:tcPr>
          <w:p w14:paraId="667A083C" w14:textId="704AB3C7" w:rsidR="00B41F9B" w:rsidRDefault="00B41F9B" w:rsidP="00B41F9B">
            <w:r>
              <w:t>Government agencies and/or departments (local-e.g. county, district, municipality, city)</w:t>
            </w:r>
          </w:p>
        </w:tc>
        <w:tc>
          <w:tcPr>
            <w:tcW w:w="1446" w:type="dxa"/>
            <w:gridSpan w:val="3"/>
            <w:vAlign w:val="center"/>
          </w:tcPr>
          <w:p w14:paraId="50E60F18" w14:textId="24718BCF" w:rsidR="00B41F9B" w:rsidRDefault="00B41F9B" w:rsidP="00B41F9B"/>
        </w:tc>
        <w:tc>
          <w:tcPr>
            <w:tcW w:w="1447" w:type="dxa"/>
            <w:vAlign w:val="center"/>
          </w:tcPr>
          <w:p w14:paraId="1992AAA4" w14:textId="13FAFBCD" w:rsidR="00B41F9B" w:rsidRDefault="00B41F9B" w:rsidP="00B41F9B"/>
        </w:tc>
        <w:tc>
          <w:tcPr>
            <w:tcW w:w="1447" w:type="dxa"/>
            <w:vAlign w:val="center"/>
          </w:tcPr>
          <w:p w14:paraId="5E930EB6" w14:textId="393F62CE" w:rsidR="00B41F9B" w:rsidRDefault="00B41F9B" w:rsidP="00B41F9B">
            <w:r>
              <w:t>X</w:t>
            </w:r>
          </w:p>
        </w:tc>
      </w:tr>
      <w:tr w:rsidR="00B41F9B" w14:paraId="3D6D41E5" w14:textId="77777777" w:rsidTr="00DD3144">
        <w:trPr>
          <w:trHeight w:val="300"/>
        </w:trPr>
        <w:tc>
          <w:tcPr>
            <w:tcW w:w="1066" w:type="dxa"/>
            <w:vAlign w:val="center"/>
          </w:tcPr>
          <w:p w14:paraId="740AD3C0" w14:textId="22F4B849" w:rsidR="00B41F9B" w:rsidRDefault="00B41F9B" w:rsidP="00B41F9B">
            <w:r>
              <w:t>1.1.11</w:t>
            </w:r>
          </w:p>
        </w:tc>
        <w:tc>
          <w:tcPr>
            <w:tcW w:w="5034" w:type="dxa"/>
            <w:gridSpan w:val="3"/>
            <w:shd w:val="clear" w:color="auto" w:fill="DEEAF6" w:themeFill="accent5" w:themeFillTint="33"/>
            <w:vAlign w:val="center"/>
          </w:tcPr>
          <w:p w14:paraId="55CD99FF" w14:textId="701EEA51" w:rsidR="00B41F9B" w:rsidRDefault="00B41F9B" w:rsidP="00B41F9B">
            <w:r>
              <w:t>Government agencies and/or departments (unspecified)</w:t>
            </w:r>
          </w:p>
        </w:tc>
        <w:tc>
          <w:tcPr>
            <w:tcW w:w="1446" w:type="dxa"/>
            <w:gridSpan w:val="3"/>
            <w:vAlign w:val="center"/>
          </w:tcPr>
          <w:p w14:paraId="2307508C" w14:textId="2BAE7744" w:rsidR="00B41F9B" w:rsidRDefault="00B41F9B" w:rsidP="00B41F9B"/>
        </w:tc>
        <w:tc>
          <w:tcPr>
            <w:tcW w:w="1447" w:type="dxa"/>
            <w:vAlign w:val="center"/>
          </w:tcPr>
          <w:p w14:paraId="0D092DE1" w14:textId="3A5B0CC3" w:rsidR="00B41F9B" w:rsidRDefault="00B41F9B" w:rsidP="00B41F9B"/>
        </w:tc>
        <w:tc>
          <w:tcPr>
            <w:tcW w:w="1447" w:type="dxa"/>
            <w:vAlign w:val="center"/>
          </w:tcPr>
          <w:p w14:paraId="1A2F5FE9" w14:textId="4FBE3E4B" w:rsidR="00B41F9B" w:rsidRDefault="00B41F9B" w:rsidP="00B41F9B">
            <w:r>
              <w:t>X</w:t>
            </w:r>
          </w:p>
        </w:tc>
      </w:tr>
      <w:tr w:rsidR="00B41F9B" w14:paraId="36EB0BCC" w14:textId="77777777" w:rsidTr="00DD3144">
        <w:trPr>
          <w:trHeight w:val="24"/>
        </w:trPr>
        <w:tc>
          <w:tcPr>
            <w:tcW w:w="1066" w:type="dxa"/>
            <w:vAlign w:val="center"/>
          </w:tcPr>
          <w:p w14:paraId="7F7ECFBB" w14:textId="2DD83D82" w:rsidR="00B41F9B" w:rsidRDefault="00B41F9B" w:rsidP="00B41F9B">
            <w:r>
              <w:t>1.1.12</w:t>
            </w:r>
          </w:p>
        </w:tc>
        <w:tc>
          <w:tcPr>
            <w:tcW w:w="5034" w:type="dxa"/>
            <w:gridSpan w:val="3"/>
            <w:shd w:val="clear" w:color="auto" w:fill="DEEAF6" w:themeFill="accent5" w:themeFillTint="33"/>
            <w:vAlign w:val="center"/>
          </w:tcPr>
          <w:p w14:paraId="3FB84CA8" w14:textId="2D2738EF" w:rsidR="00B41F9B" w:rsidRDefault="00B41F9B" w:rsidP="00B41F9B">
            <w:r>
              <w:t>Sectoral actors (e.g. healthcare, utilities, education)</w:t>
            </w:r>
          </w:p>
        </w:tc>
        <w:tc>
          <w:tcPr>
            <w:tcW w:w="1446" w:type="dxa"/>
            <w:gridSpan w:val="3"/>
            <w:vAlign w:val="center"/>
          </w:tcPr>
          <w:p w14:paraId="1C618D5E" w14:textId="77777777" w:rsidR="00B41F9B" w:rsidRDefault="00B41F9B" w:rsidP="00B41F9B"/>
        </w:tc>
        <w:tc>
          <w:tcPr>
            <w:tcW w:w="1447" w:type="dxa"/>
            <w:vAlign w:val="center"/>
          </w:tcPr>
          <w:p w14:paraId="65791BCC" w14:textId="77777777" w:rsidR="00B41F9B" w:rsidRDefault="00B41F9B" w:rsidP="00B41F9B"/>
        </w:tc>
        <w:tc>
          <w:tcPr>
            <w:tcW w:w="1447" w:type="dxa"/>
            <w:vAlign w:val="center"/>
          </w:tcPr>
          <w:p w14:paraId="3EF422E2" w14:textId="5068ABB2" w:rsidR="00B41F9B" w:rsidRDefault="00B41F9B" w:rsidP="00B41F9B">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177FBF34" w:rsidR="00CF5268" w:rsidRDefault="00F10DF1"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5A8FAD72" w:rsidR="004B2D74" w:rsidRDefault="00B41F9B"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6EBFD58B" w14:textId="55D3081F" w:rsidR="00F10DF1" w:rsidRDefault="00F10DF1" w:rsidP="006E1DE2">
            <w:pPr>
              <w:tabs>
                <w:tab w:val="num" w:pos="1440"/>
              </w:tabs>
              <w:jc w:val="both"/>
            </w:pPr>
            <w:r>
              <w:t xml:space="preserve">IFR applies </w:t>
            </w:r>
            <w:r w:rsidRPr="00F10DF1">
              <w:t>to investment firms authorised and supervised under Directive 2014/65/EU and supervised for compliance with prudential requirements under Directive (EU) 2019/2034</w:t>
            </w:r>
            <w:r>
              <w:t>.</w:t>
            </w:r>
          </w:p>
          <w:p w14:paraId="2D58FEFA" w14:textId="202962CB" w:rsidR="00C35794" w:rsidRDefault="00B41F9B" w:rsidP="006E1DE2">
            <w:pPr>
              <w:tabs>
                <w:tab w:val="num" w:pos="1440"/>
              </w:tabs>
              <w:jc w:val="both"/>
            </w:pPr>
            <w:r>
              <w:t xml:space="preserve">IFR </w:t>
            </w:r>
            <w:r w:rsidRPr="00A33197">
              <w:t>sets out prudential requirements</w:t>
            </w:r>
            <w:r>
              <w:t xml:space="preserve"> </w:t>
            </w:r>
            <w:r w:rsidRPr="00A33197">
              <w:t>and supervisory arrangements for certain categories of investment firms</w:t>
            </w:r>
            <w:r>
              <w:t xml:space="preserve">, i.e., (i) those that </w:t>
            </w:r>
            <w:r w:rsidRPr="00A33197">
              <w:t>are not subject to Regulation (EU) No </w:t>
            </w:r>
            <w:r>
              <w:t>575/2013</w:t>
            </w:r>
            <w:r w:rsidRPr="00A33197">
              <w:t> </w:t>
            </w:r>
            <w:r>
              <w:t>(</w:t>
            </w:r>
            <w:r w:rsidRPr="00A33197">
              <w:t>CRR)  and are sufficiently small and non-interconnected</w:t>
            </w:r>
            <w:r>
              <w:t xml:space="preserve"> (class 3 investment firms), </w:t>
            </w:r>
            <w:r w:rsidRPr="00A33197">
              <w:t>or</w:t>
            </w:r>
            <w:r>
              <w:t xml:space="preserve"> (ii) those that </w:t>
            </w:r>
            <w:r w:rsidRPr="00A33197">
              <w:t>do not fall under either of the two other categories (class 2</w:t>
            </w:r>
            <w:r>
              <w:t xml:space="preserve"> </w:t>
            </w:r>
            <w:r w:rsidRPr="00A33197">
              <w:t>investment firms)</w:t>
            </w:r>
            <w:r>
              <w: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6AB06AD7"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lastRenderedPageBreak/>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F10DF1" w14:paraId="496EB944" w14:textId="77777777" w:rsidTr="00DD3144">
        <w:trPr>
          <w:trHeight w:val="533"/>
        </w:trPr>
        <w:tc>
          <w:tcPr>
            <w:tcW w:w="1066" w:type="dxa"/>
            <w:vAlign w:val="center"/>
          </w:tcPr>
          <w:p w14:paraId="609CFF82" w14:textId="77777777" w:rsidR="00F10DF1" w:rsidRDefault="00F10DF1" w:rsidP="00F10DF1"/>
        </w:tc>
        <w:tc>
          <w:tcPr>
            <w:tcW w:w="9374" w:type="dxa"/>
            <w:gridSpan w:val="8"/>
            <w:shd w:val="clear" w:color="auto" w:fill="auto"/>
            <w:vAlign w:val="center"/>
          </w:tcPr>
          <w:p w14:paraId="020308A1" w14:textId="40D96FF7" w:rsidR="00F10DF1" w:rsidRDefault="00F10DF1" w:rsidP="00F10DF1">
            <w:r>
              <w:rPr>
                <w:lang w:val="sv-SE"/>
              </w:rPr>
              <w:t xml:space="preserve">Disclosure requirements under IFR are applicable for investment firms, </w:t>
            </w:r>
            <w:r w:rsidRPr="004D5EF5">
              <w:rPr>
                <w:lang w:val="sv-SE"/>
              </w:rPr>
              <w:t xml:space="preserve">where the value of </w:t>
            </w:r>
            <w:r>
              <w:rPr>
                <w:lang w:val="sv-SE"/>
              </w:rPr>
              <w:t xml:space="preserve">their </w:t>
            </w:r>
            <w:r w:rsidRPr="004D5EF5">
              <w:rPr>
                <w:lang w:val="sv-SE"/>
              </w:rPr>
              <w:t xml:space="preserve">on and off‐balance sheet assets </w:t>
            </w:r>
            <w:r>
              <w:rPr>
                <w:lang w:val="sv-SE"/>
              </w:rPr>
              <w:t>exceeds</w:t>
            </w:r>
            <w:r w:rsidRPr="004D5EF5">
              <w:rPr>
                <w:lang w:val="sv-SE"/>
              </w:rPr>
              <w:t xml:space="preserve"> EUR 100 million over the four‐year period immediately preceding the given financial year</w:t>
            </w:r>
            <w:r>
              <w:rPr>
                <w:lang w:val="sv-SE"/>
              </w:rPr>
              <w:t xml:space="preserve"> (Art. 53 of IFR, referencing Art. 32 of IFD).</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AD760E"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AD760E" w:rsidRDefault="00107CE2" w:rsidP="00DD3144">
            <w:pPr>
              <w:rPr>
                <w:lang w:val="fr-FR"/>
              </w:rPr>
            </w:pPr>
            <w:r w:rsidRPr="00AD760E">
              <w:rPr>
                <w:lang w:val="fr-FR"/>
              </w:rPr>
              <w:t>Minimum revenue (Enter minimum revenue)</w:t>
            </w:r>
          </w:p>
        </w:tc>
        <w:tc>
          <w:tcPr>
            <w:tcW w:w="4910" w:type="dxa"/>
            <w:gridSpan w:val="7"/>
            <w:shd w:val="clear" w:color="auto" w:fill="auto"/>
            <w:vAlign w:val="center"/>
          </w:tcPr>
          <w:p w14:paraId="2518BD70" w14:textId="77777777" w:rsidR="00524D54" w:rsidRPr="00AD760E" w:rsidRDefault="00524D54" w:rsidP="00DD3144">
            <w:pPr>
              <w:rPr>
                <w:lang w:val="fr-FR"/>
              </w:rPr>
            </w:pPr>
          </w:p>
        </w:tc>
      </w:tr>
      <w:tr w:rsidR="00F10DF1" w:rsidRPr="006840CD" w14:paraId="683BBA16" w14:textId="77777777" w:rsidTr="00DD3144">
        <w:trPr>
          <w:trHeight w:val="533"/>
        </w:trPr>
        <w:tc>
          <w:tcPr>
            <w:tcW w:w="1066" w:type="dxa"/>
            <w:vAlign w:val="center"/>
          </w:tcPr>
          <w:p w14:paraId="402B9FA2" w14:textId="1883A772" w:rsidR="00F10DF1" w:rsidRDefault="00F10DF1" w:rsidP="00F10DF1">
            <w:r>
              <w:t>1.6.3</w:t>
            </w:r>
          </w:p>
        </w:tc>
        <w:tc>
          <w:tcPr>
            <w:tcW w:w="4464" w:type="dxa"/>
            <w:shd w:val="clear" w:color="auto" w:fill="E2EFD9" w:themeFill="accent6" w:themeFillTint="33"/>
            <w:vAlign w:val="center"/>
          </w:tcPr>
          <w:p w14:paraId="6497D1B5" w14:textId="22870A1A" w:rsidR="00F10DF1" w:rsidRPr="00630D85" w:rsidRDefault="00F10DF1" w:rsidP="00F10DF1">
            <w:pPr>
              <w:rPr>
                <w:lang w:val="sv-SE"/>
              </w:rPr>
            </w:pPr>
            <w:r w:rsidRPr="00630D85">
              <w:rPr>
                <w:lang w:val="sv-SE"/>
              </w:rPr>
              <w:t>Minimum assets (Enter minimum assets)</w:t>
            </w:r>
          </w:p>
        </w:tc>
        <w:tc>
          <w:tcPr>
            <w:tcW w:w="4910" w:type="dxa"/>
            <w:gridSpan w:val="7"/>
            <w:shd w:val="clear" w:color="auto" w:fill="auto"/>
            <w:vAlign w:val="center"/>
          </w:tcPr>
          <w:p w14:paraId="2F54EE03" w14:textId="57D9F440" w:rsidR="00F10DF1" w:rsidRPr="00630D85" w:rsidRDefault="00F10DF1" w:rsidP="00F10DF1">
            <w:pPr>
              <w:jc w:val="both"/>
              <w:rPr>
                <w:lang w:val="sv-SE"/>
              </w:rPr>
            </w:pPr>
            <w:r>
              <w:rPr>
                <w:lang w:val="sv-SE"/>
              </w:rPr>
              <w:t xml:space="preserve">Disclosure requirements under IFR are applicable for investment firms, </w:t>
            </w:r>
            <w:r w:rsidRPr="004D5EF5">
              <w:rPr>
                <w:lang w:val="sv-SE"/>
              </w:rPr>
              <w:t xml:space="preserve">where the value of </w:t>
            </w:r>
            <w:r>
              <w:rPr>
                <w:lang w:val="sv-SE"/>
              </w:rPr>
              <w:t xml:space="preserve">their </w:t>
            </w:r>
            <w:r w:rsidRPr="004D5EF5">
              <w:rPr>
                <w:lang w:val="sv-SE"/>
              </w:rPr>
              <w:t xml:space="preserve">on and off‐balance sheet assets </w:t>
            </w:r>
            <w:r>
              <w:rPr>
                <w:lang w:val="sv-SE"/>
              </w:rPr>
              <w:t>exceeds</w:t>
            </w:r>
            <w:r w:rsidRPr="004D5EF5">
              <w:rPr>
                <w:lang w:val="sv-SE"/>
              </w:rPr>
              <w:t xml:space="preserve"> EUR 100 million over the four‐year period immediately preceding the given financial year</w:t>
            </w:r>
            <w:r>
              <w:rPr>
                <w:lang w:val="sv-SE"/>
              </w:rPr>
              <w:t xml:space="preserve"> (Art. 53 of IFR, referencing Art. 32 of IFD).</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F676B9A" w:rsidR="00576ED8" w:rsidRDefault="001A7BDD"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2695E463"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E5DAFE8" w:rsidR="00911F20" w:rsidRDefault="00117DB6"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7B32250E" w:rsidR="00911F20" w:rsidRDefault="00117DB6"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4DC478C1" w:rsidR="00911F20" w:rsidRDefault="00117DB6"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lastRenderedPageBreak/>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5219D86E" w14:textId="77777777" w:rsidR="00117DB6" w:rsidRDefault="00DC4F55" w:rsidP="00DC4F55">
            <w:pPr>
              <w:jc w:val="both"/>
            </w:pPr>
            <w:r>
              <w:t>Pursuant to Article 18 of IFD, M</w:t>
            </w:r>
            <w:r w:rsidRPr="004C53CF">
              <w:t xml:space="preserve">ember States shall lay down rules on administrative sanctions and other administrative measures and ensure that their competent authorities have the power to impose such sanctions and measures in respect of breaches of national provisions transposing </w:t>
            </w:r>
            <w:r>
              <w:t xml:space="preserve">IFD and IFR, including where an investment firm </w:t>
            </w:r>
            <w:r w:rsidRPr="00DC4F55">
              <w:t xml:space="preserve">fails to disclose information, or provides incomplete or inaccurate information, in breach of the provisions set out in Part Six of </w:t>
            </w:r>
            <w:r>
              <w:t xml:space="preserve">IFR (amongst which Article 53). </w:t>
            </w:r>
          </w:p>
          <w:p w14:paraId="03F46EF9" w14:textId="333AC216" w:rsidR="00117DB6" w:rsidRDefault="00117DB6" w:rsidP="00DC4F55">
            <w:pPr>
              <w:jc w:val="both"/>
            </w:pPr>
            <w:r>
              <w:t>While IFR/ IFD do not set forward criminal sanctions, Article 18 of IFD lays down the right of Member States to provide for and impose criminal sanctions and specifies that “</w:t>
            </w:r>
            <w:r w:rsidRPr="00117DB6">
              <w:rPr>
                <w:i/>
                <w:iCs/>
              </w:rPr>
              <w:t>Member States that do not lay down rules on administrative sanctions for breaches which are subject to national criminal law shall communicate to the Commission the relevant criminal law provisions.”</w:t>
            </w:r>
          </w:p>
          <w:p w14:paraId="0FEC6F0D" w14:textId="4490D97D" w:rsidR="00DC4F55" w:rsidRDefault="00DC4F55" w:rsidP="00DC4F55">
            <w:pPr>
              <w:jc w:val="both"/>
            </w:pPr>
            <w:r>
              <w:t>The administrative sanctions and other administrative measures shall include the following:</w:t>
            </w:r>
          </w:p>
          <w:p w14:paraId="3CF83F1C" w14:textId="1BB0D291" w:rsidR="00DC4F55" w:rsidRDefault="00DC4F55" w:rsidP="00DC4F55">
            <w:pPr>
              <w:pStyle w:val="ListParagraph"/>
              <w:numPr>
                <w:ilvl w:val="0"/>
                <w:numId w:val="54"/>
              </w:numPr>
              <w:ind w:left="714" w:hanging="357"/>
              <w:contextualSpacing w:val="0"/>
              <w:jc w:val="both"/>
            </w:pPr>
            <w:r>
              <w:t>a public statement which identifies the natural or legal person, investment firm, investment holding company or mixed financial holding company responsible and the nature of the breach;</w:t>
            </w:r>
          </w:p>
          <w:p w14:paraId="584E9A96" w14:textId="77777777" w:rsidR="00DC4F55" w:rsidRDefault="00DC4F55" w:rsidP="00DC4F55">
            <w:pPr>
              <w:pStyle w:val="ListParagraph"/>
              <w:numPr>
                <w:ilvl w:val="0"/>
                <w:numId w:val="54"/>
              </w:numPr>
              <w:ind w:left="714" w:hanging="357"/>
              <w:contextualSpacing w:val="0"/>
              <w:jc w:val="both"/>
            </w:pPr>
            <w:r>
              <w:t>an order requiring the natural or legal person responsible to cease the conduct and to desist from repeating that conduct;</w:t>
            </w:r>
          </w:p>
          <w:p w14:paraId="079CD59B" w14:textId="77777777" w:rsidR="00DC4F55" w:rsidRDefault="00DC4F55" w:rsidP="00DC4F55">
            <w:pPr>
              <w:pStyle w:val="ListParagraph"/>
              <w:numPr>
                <w:ilvl w:val="0"/>
                <w:numId w:val="54"/>
              </w:numPr>
              <w:ind w:left="714" w:hanging="357"/>
              <w:contextualSpacing w:val="0"/>
              <w:jc w:val="both"/>
            </w:pPr>
            <w:r>
              <w:t>a temporary ban for members of the investment firm’s management body or any other natural persons who are held responsible on exercising functions in investment firms;</w:t>
            </w:r>
          </w:p>
          <w:p w14:paraId="2ADBAA70" w14:textId="77777777" w:rsidR="00DC4F55" w:rsidRDefault="00DC4F55" w:rsidP="00DC4F55">
            <w:pPr>
              <w:pStyle w:val="ListParagraph"/>
              <w:numPr>
                <w:ilvl w:val="0"/>
                <w:numId w:val="54"/>
              </w:numPr>
              <w:ind w:left="714" w:hanging="357"/>
              <w:contextualSpacing w:val="0"/>
              <w:jc w:val="both"/>
            </w:pPr>
            <w:r>
              <w:t>in case of a legal person, administrative pecuniary sanctions of up to 10 % of the total annual net turnover, including the gross income consisting of interest receivable and similar income, income from shares and other variable or fixed‐yield securities, and commissions or fees of the undertaking in the preceding business year;</w:t>
            </w:r>
          </w:p>
          <w:p w14:paraId="05EE5168" w14:textId="40499D51" w:rsidR="00DC4F55" w:rsidRDefault="00DC4F55" w:rsidP="00DC4F55">
            <w:pPr>
              <w:pStyle w:val="ListParagraph"/>
              <w:numPr>
                <w:ilvl w:val="0"/>
                <w:numId w:val="54"/>
              </w:numPr>
              <w:ind w:left="714" w:hanging="357"/>
              <w:contextualSpacing w:val="0"/>
              <w:jc w:val="both"/>
            </w:pPr>
            <w:r>
              <w:t>in the case of a legal person, administrative pecuniary sanctions of up to twice the amount of the profits gained or losses avoided due to the breach where those profits or losses can be determined;</w:t>
            </w:r>
          </w:p>
          <w:p w14:paraId="441B1BC7" w14:textId="77777777" w:rsidR="009C4798" w:rsidRDefault="00DC4F55" w:rsidP="00DC4F55">
            <w:pPr>
              <w:pStyle w:val="ListParagraph"/>
              <w:numPr>
                <w:ilvl w:val="0"/>
                <w:numId w:val="54"/>
              </w:numPr>
              <w:ind w:left="714" w:hanging="357"/>
              <w:contextualSpacing w:val="0"/>
              <w:jc w:val="both"/>
            </w:pPr>
            <w:r>
              <w:t>in the case of a natural person, administrative pecuniary sanctions of up to EUR 5 000 000, or in the Member States whose currency is not the euro, the corresponding value in the national currency on 25 December 2019.</w:t>
            </w:r>
          </w:p>
          <w:p w14:paraId="17B82482" w14:textId="77777777" w:rsidR="00117DB6" w:rsidRDefault="00117DB6" w:rsidP="00117DB6">
            <w:pPr>
              <w:jc w:val="both"/>
            </w:pPr>
            <w:r>
              <w:t>Where an undertaking referred to in point (d) of the first subparagraph is a subsidiary, the relevant gross income shall be the gross income resulting from the consolidated account of the ultimate parent undertaking in the preceding business year.</w:t>
            </w:r>
          </w:p>
          <w:p w14:paraId="2D7B268B" w14:textId="77777777" w:rsidR="00117DB6" w:rsidRDefault="00117DB6" w:rsidP="00117DB6">
            <w:pPr>
              <w:jc w:val="both"/>
            </w:pPr>
            <w:r>
              <w:t>Member States shall ensure that where an investment firm is in breach of national provisions transposing this Directive or in breach of the provisions of Regulation (EU) 2019/2033, administrative sanctions may be applied by the competent authority to the members of the management body and to other natural persons who under national law are responsible for the breach.</w:t>
            </w:r>
          </w:p>
          <w:p w14:paraId="6475235A" w14:textId="50AF0BB5" w:rsidR="00DC4F55" w:rsidRDefault="00117DB6" w:rsidP="00F72CD6">
            <w:pPr>
              <w:jc w:val="both"/>
            </w:pPr>
            <w:r>
              <w:lastRenderedPageBreak/>
              <w:t xml:space="preserve">Pursuant to Article 20 of IFD, </w:t>
            </w:r>
            <w:r w:rsidRPr="00117DB6">
              <w:t>Member States shall ensure that competent authorities publish on their official website without undue delay any administrative sanctions and other administrative measures imposed in accordance with Article 18 and which have not been appealed or can no longer be appealed. That publication shall include information on the type and nature of the breach and the identity of the natural or legal person on whom the sanction is imposed or against whom the measure is taken. The information shall only be published after that person has been informed of those sanctions or measures and to the extent that the publication is necessary and proportionate.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0D4DB0A8" w:rsidR="00C57511" w:rsidRPr="00FA0CF8" w:rsidRDefault="00722EAB"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5D3B06EC" w14:textId="39E9CDE3" w:rsidR="00722EAB" w:rsidRDefault="00722EAB" w:rsidP="00E455EB">
            <w:pPr>
              <w:spacing w:line="276" w:lineRule="auto"/>
              <w:jc w:val="both"/>
              <w:rPr>
                <w:color w:val="000000" w:themeColor="text1"/>
              </w:rPr>
            </w:pPr>
            <w:r>
              <w:rPr>
                <w:color w:val="000000" w:themeColor="text1"/>
              </w:rPr>
              <w:t xml:space="preserve">The European Commission has adopted several delegated act, amongst which </w:t>
            </w:r>
            <w:r w:rsidRPr="00722EAB">
              <w:rPr>
                <w:color w:val="000000" w:themeColor="text1"/>
              </w:rPr>
              <w:t>Commission Implementing Regulation (EU) 2021/2284 of 10 December 2021 laying down implementing technical standards for the application of Regulation (EU) 2019/2033 of the European Parliament and of the Council with regard to supervisory reporting and disclosures of investment firms</w:t>
            </w:r>
            <w:r w:rsidR="00E455EB">
              <w:rPr>
                <w:color w:val="000000" w:themeColor="text1"/>
              </w:rPr>
              <w:t>.</w:t>
            </w:r>
          </w:p>
          <w:p w14:paraId="7A457096" w14:textId="07B64301" w:rsidR="00654950" w:rsidRDefault="00722EAB" w:rsidP="00E455EB">
            <w:pPr>
              <w:spacing w:line="276" w:lineRule="auto"/>
              <w:jc w:val="both"/>
              <w:rPr>
                <w:color w:val="000000" w:themeColor="text1"/>
              </w:rPr>
            </w:pPr>
            <w:r>
              <w:rPr>
                <w:color w:val="000000" w:themeColor="text1"/>
              </w:rPr>
              <w:t xml:space="preserve">The EBA has published its Report on </w:t>
            </w:r>
            <w:r>
              <w:t>the role of environmental and social risks in the prudential framework</w:t>
            </w:r>
            <w:r>
              <w:rPr>
                <w:color w:val="000000" w:themeColor="text1"/>
              </w:rPr>
              <w:t xml:space="preserve"> </w:t>
            </w:r>
            <w:hyperlink r:id="rId21" w:history="1"/>
            <w:r>
              <w:rPr>
                <w:color w:val="000000" w:themeColor="text1"/>
              </w:rPr>
              <w:t>in October 2023 (</w:t>
            </w:r>
            <w:r>
              <w:t>EBA/REP/2023/34)</w:t>
            </w:r>
            <w:r w:rsidR="00E455EB">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4A6CF4DF" w:rsidR="00BE0825" w:rsidRPr="004B521D" w:rsidRDefault="004B521D" w:rsidP="004B521D">
            <w:pPr>
              <w:jc w:val="both"/>
            </w:pPr>
            <w:r>
              <w:t xml:space="preserve">Regarding disclosures of ESG risks by subjected undertakings (under </w:t>
            </w:r>
            <w:r w:rsidRPr="001D44E4">
              <w:t>Article </w:t>
            </w:r>
            <w:r>
              <w:t>53 of IFR</w:t>
            </w:r>
            <w:r w:rsidRPr="001D44E4">
              <w:t>)</w:t>
            </w:r>
            <w:r>
              <w:t xml:space="preserve">, while non-compliance may have triggered sanctions at the level of individual Member States, there is no known evidence of enforcement at EU level.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4B521D" w14:paraId="38A401C3" w14:textId="77777777" w:rsidTr="00DD3144">
        <w:trPr>
          <w:trHeight w:val="1020"/>
        </w:trPr>
        <w:tc>
          <w:tcPr>
            <w:tcW w:w="1066" w:type="dxa"/>
            <w:vAlign w:val="center"/>
          </w:tcPr>
          <w:p w14:paraId="5424975F" w14:textId="77777777" w:rsidR="004B521D" w:rsidRPr="00530553" w:rsidRDefault="004B521D" w:rsidP="004B521D">
            <w:pPr>
              <w:rPr>
                <w:b/>
                <w:bCs/>
                <w:color w:val="000000" w:themeColor="text1"/>
              </w:rPr>
            </w:pPr>
          </w:p>
        </w:tc>
        <w:tc>
          <w:tcPr>
            <w:tcW w:w="9374" w:type="dxa"/>
            <w:gridSpan w:val="8"/>
            <w:shd w:val="clear" w:color="auto" w:fill="auto"/>
            <w:vAlign w:val="center"/>
          </w:tcPr>
          <w:p w14:paraId="1AD00030" w14:textId="7B78DA3E" w:rsidR="004B521D" w:rsidRDefault="004B521D" w:rsidP="004B521D">
            <w:pPr>
              <w:spacing w:line="276" w:lineRule="auto"/>
              <w:rPr>
                <w:color w:val="000000" w:themeColor="text1"/>
              </w:rPr>
            </w:pPr>
            <w:r>
              <w:t xml:space="preserve">Regarding disclosures of ESG risks by subjected undertakings (under </w:t>
            </w:r>
            <w:r w:rsidRPr="001D44E4">
              <w:t>Article </w:t>
            </w:r>
            <w:r>
              <w:t>53 of IFR</w:t>
            </w:r>
            <w:r w:rsidRPr="001D44E4">
              <w:t>)</w:t>
            </w:r>
            <w:r>
              <w:t xml:space="preserve">, while non-compliance may have triggered sanctions at the level of individual Member States, there is no known evidence of enforcement at EU level. </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D42EFC">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D42EFC">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D42EFC">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4951DBD4" w:rsidR="00042406" w:rsidRDefault="00D42EFC" w:rsidP="00DD3144">
            <w:r>
              <w:t>X</w:t>
            </w:r>
          </w:p>
        </w:tc>
      </w:tr>
      <w:tr w:rsidR="00D42EFC" w14:paraId="3C2151B2" w14:textId="77777777" w:rsidTr="00D42EFC">
        <w:tc>
          <w:tcPr>
            <w:tcW w:w="828" w:type="dxa"/>
            <w:vAlign w:val="center"/>
          </w:tcPr>
          <w:p w14:paraId="353FA123" w14:textId="18F73352" w:rsidR="00D42EFC" w:rsidRDefault="00D42EFC" w:rsidP="00D42EFC">
            <w:r>
              <w:t>1.17.2</w:t>
            </w:r>
          </w:p>
        </w:tc>
        <w:tc>
          <w:tcPr>
            <w:tcW w:w="3507" w:type="dxa"/>
            <w:shd w:val="clear" w:color="auto" w:fill="DEEAF6" w:themeFill="accent5" w:themeFillTint="33"/>
            <w:vAlign w:val="center"/>
          </w:tcPr>
          <w:p w14:paraId="6CAC9070" w14:textId="18D7CFB9" w:rsidR="00D42EFC" w:rsidRPr="008835E8" w:rsidRDefault="00D42EFC" w:rsidP="00D42EFC">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D42EFC" w:rsidRDefault="00D42EFC" w:rsidP="00D42EFC"/>
        </w:tc>
        <w:tc>
          <w:tcPr>
            <w:tcW w:w="1391" w:type="dxa"/>
            <w:vAlign w:val="center"/>
          </w:tcPr>
          <w:p w14:paraId="07C6BDE2" w14:textId="77777777" w:rsidR="00D42EFC" w:rsidRDefault="00D42EFC" w:rsidP="00D42EFC"/>
        </w:tc>
        <w:tc>
          <w:tcPr>
            <w:tcW w:w="3323" w:type="dxa"/>
            <w:vAlign w:val="center"/>
          </w:tcPr>
          <w:p w14:paraId="6E6F3A6D" w14:textId="71E1D8AC" w:rsidR="00D42EFC" w:rsidRDefault="00D42EFC" w:rsidP="00D42EFC">
            <w:r>
              <w:t>X</w:t>
            </w:r>
          </w:p>
        </w:tc>
      </w:tr>
      <w:tr w:rsidR="00D42EFC" w14:paraId="3D028064" w14:textId="77777777" w:rsidTr="00D42EFC">
        <w:tc>
          <w:tcPr>
            <w:tcW w:w="828" w:type="dxa"/>
            <w:vAlign w:val="center"/>
          </w:tcPr>
          <w:p w14:paraId="6547FB4B" w14:textId="5692E027" w:rsidR="00D42EFC" w:rsidRDefault="00D42EFC" w:rsidP="00D42EFC">
            <w:r>
              <w:t>1.17.3</w:t>
            </w:r>
          </w:p>
        </w:tc>
        <w:tc>
          <w:tcPr>
            <w:tcW w:w="3507" w:type="dxa"/>
            <w:shd w:val="clear" w:color="auto" w:fill="DEEAF6" w:themeFill="accent5" w:themeFillTint="33"/>
            <w:vAlign w:val="center"/>
          </w:tcPr>
          <w:p w14:paraId="36E542DF" w14:textId="1678FCC4" w:rsidR="00D42EFC" w:rsidRDefault="00D42EFC" w:rsidP="00D42EFC">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D42EFC" w:rsidRDefault="00D42EFC" w:rsidP="00D42EFC"/>
        </w:tc>
        <w:tc>
          <w:tcPr>
            <w:tcW w:w="1391" w:type="dxa"/>
            <w:vAlign w:val="center"/>
          </w:tcPr>
          <w:p w14:paraId="78F2FEC9" w14:textId="77777777" w:rsidR="00D42EFC" w:rsidRDefault="00D42EFC" w:rsidP="00D42EFC"/>
        </w:tc>
        <w:tc>
          <w:tcPr>
            <w:tcW w:w="3323" w:type="dxa"/>
            <w:vAlign w:val="center"/>
          </w:tcPr>
          <w:p w14:paraId="1D255A36" w14:textId="7D9AA4BF" w:rsidR="00D42EFC" w:rsidRDefault="00D42EFC" w:rsidP="00D42EFC">
            <w:r>
              <w:t>X</w:t>
            </w:r>
          </w:p>
        </w:tc>
      </w:tr>
      <w:tr w:rsidR="00D42EFC" w14:paraId="3C6AE41B" w14:textId="77777777" w:rsidTr="00D42EFC">
        <w:tc>
          <w:tcPr>
            <w:tcW w:w="828" w:type="dxa"/>
            <w:vAlign w:val="center"/>
          </w:tcPr>
          <w:p w14:paraId="24044DB4" w14:textId="521818DB" w:rsidR="00D42EFC" w:rsidRDefault="00D42EFC" w:rsidP="00D42EFC">
            <w:r>
              <w:t>1.17.4</w:t>
            </w:r>
          </w:p>
        </w:tc>
        <w:tc>
          <w:tcPr>
            <w:tcW w:w="3507" w:type="dxa"/>
            <w:shd w:val="clear" w:color="auto" w:fill="DEEAF6" w:themeFill="accent5" w:themeFillTint="33"/>
            <w:vAlign w:val="center"/>
          </w:tcPr>
          <w:p w14:paraId="332CAB73" w14:textId="48F039B7" w:rsidR="00D42EFC" w:rsidRDefault="00D42EFC" w:rsidP="00D42EFC">
            <w:pPr>
              <w:spacing w:line="276" w:lineRule="auto"/>
            </w:pPr>
            <w:r>
              <w:t>Other climate-related targets</w:t>
            </w:r>
          </w:p>
        </w:tc>
        <w:tc>
          <w:tcPr>
            <w:tcW w:w="1391" w:type="dxa"/>
            <w:gridSpan w:val="2"/>
            <w:vAlign w:val="center"/>
          </w:tcPr>
          <w:p w14:paraId="5425AFE8" w14:textId="1E97733D" w:rsidR="00D42EFC" w:rsidRDefault="00D42EFC" w:rsidP="00D42EFC"/>
        </w:tc>
        <w:tc>
          <w:tcPr>
            <w:tcW w:w="1391" w:type="dxa"/>
            <w:vAlign w:val="center"/>
          </w:tcPr>
          <w:p w14:paraId="44DA35FE" w14:textId="77777777" w:rsidR="00D42EFC" w:rsidRDefault="00D42EFC" w:rsidP="00D42EFC"/>
        </w:tc>
        <w:tc>
          <w:tcPr>
            <w:tcW w:w="3323" w:type="dxa"/>
            <w:vAlign w:val="center"/>
          </w:tcPr>
          <w:p w14:paraId="02561B88" w14:textId="2D229CE1" w:rsidR="00D42EFC" w:rsidRDefault="00D42EFC" w:rsidP="00D42EFC">
            <w:r>
              <w:t>X</w:t>
            </w:r>
          </w:p>
        </w:tc>
      </w:tr>
      <w:tr w:rsidR="00D42EFC" w14:paraId="4D444617" w14:textId="77777777" w:rsidTr="00D42EFC">
        <w:tc>
          <w:tcPr>
            <w:tcW w:w="828" w:type="dxa"/>
            <w:vAlign w:val="center"/>
          </w:tcPr>
          <w:p w14:paraId="6BBDC663" w14:textId="141F42BA" w:rsidR="00D42EFC" w:rsidRDefault="00D42EFC" w:rsidP="00D42EFC">
            <w:r>
              <w:t>1.17.5</w:t>
            </w:r>
          </w:p>
        </w:tc>
        <w:tc>
          <w:tcPr>
            <w:tcW w:w="3507" w:type="dxa"/>
            <w:shd w:val="clear" w:color="auto" w:fill="DEEAF6" w:themeFill="accent5" w:themeFillTint="33"/>
            <w:vAlign w:val="center"/>
          </w:tcPr>
          <w:p w14:paraId="40B8B238" w14:textId="0D3C00CC" w:rsidR="00D42EFC" w:rsidRPr="00A84C61" w:rsidRDefault="00D42EFC" w:rsidP="00D42EFC">
            <w:pPr>
              <w:spacing w:line="276" w:lineRule="auto"/>
              <w:rPr>
                <w:b/>
                <w:color w:val="7030A0"/>
              </w:rPr>
            </w:pPr>
            <w:r w:rsidRPr="00A84C61">
              <w:rPr>
                <w:b/>
                <w:color w:val="7030A0"/>
              </w:rPr>
              <w:t>Physical climate risk</w:t>
            </w:r>
          </w:p>
        </w:tc>
        <w:tc>
          <w:tcPr>
            <w:tcW w:w="1391" w:type="dxa"/>
            <w:gridSpan w:val="2"/>
            <w:vAlign w:val="center"/>
          </w:tcPr>
          <w:p w14:paraId="6A70A7FE" w14:textId="0A3C9EF2" w:rsidR="00D42EFC" w:rsidRDefault="00D42EFC" w:rsidP="00D42EFC">
            <w:r>
              <w:t>X</w:t>
            </w:r>
          </w:p>
        </w:tc>
        <w:tc>
          <w:tcPr>
            <w:tcW w:w="1391" w:type="dxa"/>
            <w:vAlign w:val="center"/>
          </w:tcPr>
          <w:p w14:paraId="7EE9A7FE" w14:textId="77777777" w:rsidR="00D42EFC" w:rsidRDefault="00D42EFC" w:rsidP="00D42EFC"/>
        </w:tc>
        <w:tc>
          <w:tcPr>
            <w:tcW w:w="3323" w:type="dxa"/>
            <w:vAlign w:val="center"/>
          </w:tcPr>
          <w:p w14:paraId="64DEAA9D" w14:textId="77777777" w:rsidR="00D42EFC" w:rsidRDefault="00D42EFC" w:rsidP="00D42EFC"/>
        </w:tc>
      </w:tr>
      <w:tr w:rsidR="00D42EFC" w14:paraId="59F69D34" w14:textId="77777777" w:rsidTr="00D42EFC">
        <w:tc>
          <w:tcPr>
            <w:tcW w:w="828" w:type="dxa"/>
            <w:vAlign w:val="center"/>
          </w:tcPr>
          <w:p w14:paraId="1DEA79A8" w14:textId="2D5B6F1F" w:rsidR="00D42EFC" w:rsidRDefault="00D42EFC" w:rsidP="00D42EFC">
            <w:r>
              <w:t>1.17.6</w:t>
            </w:r>
          </w:p>
        </w:tc>
        <w:tc>
          <w:tcPr>
            <w:tcW w:w="3507" w:type="dxa"/>
            <w:shd w:val="clear" w:color="auto" w:fill="DEEAF6" w:themeFill="accent5" w:themeFillTint="33"/>
            <w:vAlign w:val="center"/>
          </w:tcPr>
          <w:p w14:paraId="5F8AC5BC" w14:textId="51F74AFB" w:rsidR="00D42EFC" w:rsidRDefault="00D42EFC" w:rsidP="00D42EFC">
            <w:pPr>
              <w:spacing w:line="276" w:lineRule="auto"/>
            </w:pPr>
            <w:r>
              <w:t>Transition risk</w:t>
            </w:r>
          </w:p>
        </w:tc>
        <w:tc>
          <w:tcPr>
            <w:tcW w:w="1391" w:type="dxa"/>
            <w:gridSpan w:val="2"/>
            <w:vAlign w:val="center"/>
          </w:tcPr>
          <w:p w14:paraId="4749D1D6" w14:textId="315236CB" w:rsidR="00D42EFC" w:rsidRDefault="00D42EFC" w:rsidP="00D42EFC">
            <w:r>
              <w:t>X</w:t>
            </w:r>
          </w:p>
        </w:tc>
        <w:tc>
          <w:tcPr>
            <w:tcW w:w="1391" w:type="dxa"/>
            <w:vAlign w:val="center"/>
          </w:tcPr>
          <w:p w14:paraId="7603D43B" w14:textId="77777777" w:rsidR="00D42EFC" w:rsidRDefault="00D42EFC" w:rsidP="00D42EFC"/>
        </w:tc>
        <w:tc>
          <w:tcPr>
            <w:tcW w:w="3323" w:type="dxa"/>
            <w:vAlign w:val="center"/>
          </w:tcPr>
          <w:p w14:paraId="0BF1E54E" w14:textId="77777777" w:rsidR="00D42EFC" w:rsidRDefault="00D42EFC" w:rsidP="00D42EFC"/>
        </w:tc>
      </w:tr>
      <w:tr w:rsidR="004C6739" w14:paraId="04F9F37D" w14:textId="77777777" w:rsidTr="00D42EFC">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77777777" w:rsidR="00042406" w:rsidRDefault="00042406" w:rsidP="00DD3144"/>
        </w:tc>
      </w:tr>
      <w:tr w:rsidR="00931F08" w14:paraId="65209187" w14:textId="77777777" w:rsidTr="00D42EFC">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D42EFC">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D42EFC">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D42EFC">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D42EFC">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D42EFC">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D42EFC">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D42EFC">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D42EFC">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D42EFC">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739DE022" w14:textId="77777777" w:rsidR="00931F08" w:rsidRDefault="00D42EFC" w:rsidP="00DD3144">
            <w:pPr>
              <w:rPr>
                <w:lang w:val="sv-SE"/>
              </w:rPr>
            </w:pPr>
            <w:r>
              <w:t xml:space="preserve">Under Article 53, entities that shall disclose information on </w:t>
            </w:r>
            <w:r w:rsidRPr="00D42EFC">
              <w:t>environmental, social and governance risks, including physical risks and transition risks</w:t>
            </w:r>
            <w:r>
              <w:t xml:space="preserve">, are investment firms, </w:t>
            </w:r>
            <w:r w:rsidRPr="004D5EF5">
              <w:rPr>
                <w:lang w:val="sv-SE"/>
              </w:rPr>
              <w:t xml:space="preserve">where the value of </w:t>
            </w:r>
            <w:r>
              <w:rPr>
                <w:lang w:val="sv-SE"/>
              </w:rPr>
              <w:t xml:space="preserve">their </w:t>
            </w:r>
            <w:r w:rsidRPr="004D5EF5">
              <w:rPr>
                <w:lang w:val="sv-SE"/>
              </w:rPr>
              <w:t xml:space="preserve">on and off‐balance sheet assets </w:t>
            </w:r>
            <w:r>
              <w:rPr>
                <w:lang w:val="sv-SE"/>
              </w:rPr>
              <w:t>exceeds</w:t>
            </w:r>
            <w:r w:rsidRPr="004D5EF5">
              <w:rPr>
                <w:lang w:val="sv-SE"/>
              </w:rPr>
              <w:t xml:space="preserve"> EUR 100 million over the four‐year period immediately preceding the given financial year</w:t>
            </w:r>
            <w:r>
              <w:rPr>
                <w:lang w:val="sv-SE"/>
              </w:rPr>
              <w:t xml:space="preserve"> (Art. 53 of IFR, referencing Art. 32 of IFD).</w:t>
            </w:r>
          </w:p>
          <w:p w14:paraId="142D13FD" w14:textId="6D297C3E" w:rsidR="008D0DFE" w:rsidRPr="00E64624" w:rsidRDefault="008D0DFE" w:rsidP="00E64624">
            <w:pPr>
              <w:jc w:val="both"/>
              <w:rPr>
                <w:lang w:val="sv-SE"/>
              </w:rPr>
            </w:pPr>
            <w:r>
              <w:rPr>
                <w:lang w:val="sv-SE"/>
              </w:rPr>
              <w:lastRenderedPageBreak/>
              <w:t xml:space="preserve">As such, certain investment firms are subjected to IFR/IFD, but not to the abovementioned disclosure requirements, where the value of their </w:t>
            </w:r>
            <w:r w:rsidRPr="008D0DFE">
              <w:rPr>
                <w:lang w:val="sv-SE"/>
              </w:rPr>
              <w:t>on and off‐balance sheet assets is on average equal to or less than EUR 100 million over the four‐year period immediately preceding the given financial year</w:t>
            </w:r>
            <w:r>
              <w:rPr>
                <w:lang w:val="sv-SE"/>
              </w:rPr>
              <w:t xml:space="preserve">. </w:t>
            </w:r>
          </w:p>
        </w:tc>
      </w:tr>
      <w:tr w:rsidR="00931F08" w14:paraId="73E434EA" w14:textId="77777777" w:rsidTr="00D42EFC">
        <w:tc>
          <w:tcPr>
            <w:tcW w:w="828" w:type="dxa"/>
            <w:vAlign w:val="center"/>
          </w:tcPr>
          <w:p w14:paraId="56EBE628" w14:textId="7F8C4846" w:rsidR="00931F08" w:rsidRPr="00BC2F0B" w:rsidRDefault="00931F08" w:rsidP="00DD3144">
            <w:pPr>
              <w:rPr>
                <w:b/>
                <w:bCs/>
              </w:rPr>
            </w:pPr>
            <w:r w:rsidRPr="00BC2F0B">
              <w:rPr>
                <w:b/>
                <w:bCs/>
              </w:rPr>
              <w:lastRenderedPageBreak/>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A3FFE" w14:paraId="2E013D5D" w14:textId="77777777" w:rsidTr="00D42EFC">
        <w:trPr>
          <w:trHeight w:val="1020"/>
        </w:trPr>
        <w:tc>
          <w:tcPr>
            <w:tcW w:w="828" w:type="dxa"/>
            <w:vAlign w:val="center"/>
          </w:tcPr>
          <w:p w14:paraId="7F3E2F14" w14:textId="77777777" w:rsidR="007A3FFE" w:rsidRDefault="007A3FFE" w:rsidP="007A3FFE"/>
        </w:tc>
        <w:tc>
          <w:tcPr>
            <w:tcW w:w="9612" w:type="dxa"/>
            <w:gridSpan w:val="5"/>
            <w:shd w:val="clear" w:color="auto" w:fill="auto"/>
            <w:vAlign w:val="center"/>
          </w:tcPr>
          <w:p w14:paraId="5528EBA9" w14:textId="77777777" w:rsidR="007A3FFE" w:rsidRDefault="007A3FFE" w:rsidP="007A3FFE">
            <w:pPr>
              <w:rPr>
                <w:lang w:val="sv-SE"/>
              </w:rPr>
            </w:pPr>
            <w:r>
              <w:t xml:space="preserve">Under Article 53, entities that shall disclose information on </w:t>
            </w:r>
            <w:r w:rsidRPr="00D42EFC">
              <w:t>environmental, social and governance risks, including physical risks and transition risks</w:t>
            </w:r>
            <w:r>
              <w:t xml:space="preserve">, are investment firms, </w:t>
            </w:r>
            <w:r w:rsidRPr="004D5EF5">
              <w:rPr>
                <w:lang w:val="sv-SE"/>
              </w:rPr>
              <w:t xml:space="preserve">where the value of </w:t>
            </w:r>
            <w:r>
              <w:rPr>
                <w:lang w:val="sv-SE"/>
              </w:rPr>
              <w:t xml:space="preserve">their </w:t>
            </w:r>
            <w:r w:rsidRPr="004D5EF5">
              <w:rPr>
                <w:lang w:val="sv-SE"/>
              </w:rPr>
              <w:t xml:space="preserve">on and off‐balance sheet assets </w:t>
            </w:r>
            <w:r>
              <w:rPr>
                <w:lang w:val="sv-SE"/>
              </w:rPr>
              <w:t>exceeds</w:t>
            </w:r>
            <w:r w:rsidRPr="004D5EF5">
              <w:rPr>
                <w:lang w:val="sv-SE"/>
              </w:rPr>
              <w:t xml:space="preserve"> EUR 100 million over the four‐year period immediately preceding the given financial year</w:t>
            </w:r>
            <w:r>
              <w:rPr>
                <w:lang w:val="sv-SE"/>
              </w:rPr>
              <w:t xml:space="preserve"> (Art. 53 of IFR, referencing Art. 32 of IFD).</w:t>
            </w:r>
          </w:p>
          <w:p w14:paraId="0FA0FC71" w14:textId="1DE594ED" w:rsidR="007A3FFE" w:rsidRDefault="007A3FFE" w:rsidP="007A3FFE">
            <w:r>
              <w:rPr>
                <w:lang w:val="sv-SE"/>
              </w:rPr>
              <w:t xml:space="preserve">As such, certain investment firms are subjected to IFR/IFD, but not to the abovementioned disclosure requirements, where the value of their </w:t>
            </w:r>
            <w:r w:rsidRPr="008D0DFE">
              <w:rPr>
                <w:lang w:val="sv-SE"/>
              </w:rPr>
              <w:t>on and off‐balance sheet assets is on average equal to or less than EUR 100 million over the four‐year period immediately preceding the given financial year</w:t>
            </w:r>
            <w:r>
              <w:rPr>
                <w:lang w:val="sv-SE"/>
              </w:rPr>
              <w:t xml:space="preserve">. </w:t>
            </w:r>
          </w:p>
        </w:tc>
      </w:tr>
      <w:tr w:rsidR="00931F08" w14:paraId="3ECA0ED6" w14:textId="77777777" w:rsidTr="00D42EFC">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D42EFC">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D42EFC">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D42EFC">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D42EFC">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D42EFC">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D42EFC">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D42EFC">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D42EFC">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D42EFC">
        <w:trPr>
          <w:trHeight w:val="533"/>
        </w:trPr>
        <w:tc>
          <w:tcPr>
            <w:tcW w:w="828" w:type="dxa"/>
            <w:vAlign w:val="center"/>
          </w:tcPr>
          <w:p w14:paraId="024F02FA" w14:textId="3AB2CF4B" w:rsidR="00B0479E" w:rsidRDefault="00B0479E" w:rsidP="00DD3144">
            <w:r>
              <w:lastRenderedPageBreak/>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AD760E" w14:paraId="711C406F" w14:textId="77777777" w:rsidTr="00D42EFC">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Pr="00AD760E" w:rsidRDefault="00B0479E" w:rsidP="00DD3144">
            <w:pPr>
              <w:rPr>
                <w:lang w:val="fr-FR"/>
              </w:rPr>
            </w:pPr>
            <w:r w:rsidRPr="00AD760E">
              <w:rPr>
                <w:rFonts w:ascii="Calibri" w:hAnsi="Calibri" w:cs="Calibri"/>
                <w:lang w:val="fr-FR"/>
              </w:rPr>
              <w:t xml:space="preserve">Carbon </w:t>
            </w:r>
            <w:proofErr w:type="spellStart"/>
            <w:r w:rsidRPr="00AD760E">
              <w:rPr>
                <w:rFonts w:ascii="Calibri" w:hAnsi="Calibri" w:cs="Calibri"/>
                <w:lang w:val="fr-FR"/>
              </w:rPr>
              <w:t>dioxide</w:t>
            </w:r>
            <w:proofErr w:type="spellEnd"/>
            <w:r w:rsidRPr="00AD760E">
              <w:rPr>
                <w:rFonts w:ascii="Calibri" w:hAnsi="Calibri" w:cs="Calibri"/>
                <w:lang w:val="fr-FR"/>
              </w:rPr>
              <w:t xml:space="preserve"> </w:t>
            </w:r>
            <w:proofErr w:type="spellStart"/>
            <w:r w:rsidRPr="00AD760E">
              <w:rPr>
                <w:rFonts w:ascii="Calibri" w:hAnsi="Calibri" w:cs="Calibri"/>
                <w:lang w:val="fr-FR"/>
              </w:rPr>
              <w:t>equivalent</w:t>
            </w:r>
            <w:proofErr w:type="spellEnd"/>
            <w:r w:rsidRPr="00AD760E">
              <w:rPr>
                <w:rFonts w:ascii="Calibri" w:hAnsi="Calibri" w:cs="Calibri"/>
                <w:lang w:val="fr-FR"/>
              </w:rPr>
              <w:t xml:space="preserve"> (</w:t>
            </w:r>
            <w:proofErr w:type="spellStart"/>
            <w:r w:rsidRPr="00AD760E">
              <w:rPr>
                <w:rFonts w:ascii="Calibri" w:hAnsi="Calibri" w:cs="Calibri"/>
                <w:lang w:val="fr-FR"/>
              </w:rPr>
              <w:t>CO₂e</w:t>
            </w:r>
            <w:proofErr w:type="spellEnd"/>
            <w:r w:rsidRPr="00AD760E">
              <w:rPr>
                <w:rFonts w:ascii="Calibri" w:hAnsi="Calibri" w:cs="Calibri"/>
                <w:lang w:val="fr-FR"/>
              </w:rPr>
              <w:t xml:space="preserve">) </w:t>
            </w:r>
          </w:p>
        </w:tc>
        <w:tc>
          <w:tcPr>
            <w:tcW w:w="4714" w:type="dxa"/>
            <w:gridSpan w:val="2"/>
            <w:shd w:val="clear" w:color="auto" w:fill="auto"/>
            <w:vAlign w:val="center"/>
          </w:tcPr>
          <w:p w14:paraId="7C41530E" w14:textId="769FE26A" w:rsidR="00B0479E" w:rsidRPr="00AD760E" w:rsidRDefault="00B0479E" w:rsidP="00DD3144">
            <w:pPr>
              <w:rPr>
                <w:rFonts w:ascii="Calibri" w:hAnsi="Calibri" w:cs="Calibri"/>
                <w:lang w:val="fr-FR"/>
              </w:rPr>
            </w:pPr>
          </w:p>
        </w:tc>
      </w:tr>
      <w:tr w:rsidR="00B0479E" w14:paraId="77BC6906" w14:textId="77777777" w:rsidTr="00D42EFC">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D42EFC">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D42EFC">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D42EFC">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D42EFC">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D42EFC">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D42EFC">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D42EFC">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D42EFC">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D42EFC">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D42EFC">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D42EFC">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D42EFC">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D42EFC">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D42EFC">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D42EFC">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D42EFC">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D42EFC">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D42EFC">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D42EFC">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D42EFC">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D42EFC">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D42EFC">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D42EFC">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D42EFC">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D42EFC">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D42EFC">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D42EFC">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D42EFC">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D42EFC">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D42EFC">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D42EFC">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D42EFC">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D42EFC">
        <w:trPr>
          <w:trHeight w:val="21"/>
        </w:trPr>
        <w:tc>
          <w:tcPr>
            <w:tcW w:w="828" w:type="dxa"/>
            <w:vAlign w:val="center"/>
          </w:tcPr>
          <w:p w14:paraId="7629D35E" w14:textId="075CFBAD" w:rsidR="00B0479E" w:rsidRDefault="00B0479E" w:rsidP="00DD3144">
            <w:r>
              <w:lastRenderedPageBreak/>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D42EFC">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D42EFC">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D42EFC">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D42EFC">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D42EFC">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D42EFC">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D42EFC">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D42EFC">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D42EFC">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D42EFC">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D42EFC">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D42EFC">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D42EFC">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D42EFC">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D42EFC">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D42EFC">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D42EFC">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D42EFC">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D42EFC">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D42EFC">
        <w:trPr>
          <w:trHeight w:val="44"/>
        </w:trPr>
        <w:tc>
          <w:tcPr>
            <w:tcW w:w="828" w:type="dxa"/>
            <w:vAlign w:val="center"/>
          </w:tcPr>
          <w:p w14:paraId="0DDCD566" w14:textId="682470B8" w:rsidR="00B0479E" w:rsidRPr="00561537" w:rsidRDefault="00B0479E" w:rsidP="00DD3144">
            <w:pPr>
              <w:rPr>
                <w:b/>
                <w:bCs/>
              </w:rPr>
            </w:pPr>
            <w:r w:rsidRPr="00561537">
              <w:rPr>
                <w:b/>
                <w:bCs/>
              </w:rPr>
              <w:lastRenderedPageBreak/>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D42EFC">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D42EFC">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D42EFC">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D42EFC">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D42EFC">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D42EFC">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D42EFC">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D42EFC">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D42EFC">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D42EFC">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D42EFC">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D42EFC">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D42EFC">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D42EFC">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D42EFC">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D42EFC">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D42EFC">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D42EFC">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D42EFC">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D42EFC">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D42EFC">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D42EFC">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D42EFC">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D42EFC">
        <w:trPr>
          <w:trHeight w:val="74"/>
        </w:trPr>
        <w:tc>
          <w:tcPr>
            <w:tcW w:w="828" w:type="dxa"/>
            <w:vAlign w:val="center"/>
          </w:tcPr>
          <w:p w14:paraId="4142114A" w14:textId="402D6408" w:rsidR="00B0479E" w:rsidRPr="0054680A" w:rsidRDefault="00B0479E" w:rsidP="00DD3144">
            <w:pPr>
              <w:rPr>
                <w:b/>
                <w:bCs/>
              </w:rPr>
            </w:pPr>
            <w:r w:rsidRPr="0054680A">
              <w:rPr>
                <w:b/>
                <w:bCs/>
              </w:rPr>
              <w:lastRenderedPageBreak/>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D42EFC">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D42EFC">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D42EFC">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D42EFC">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D42EFC">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D42EFC">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D42EFC">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D42EFC">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D42EFC">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D42EFC">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D42EFC">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D42EFC">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D42EFC">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D42EFC">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D42EFC">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D42EFC">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D42EFC">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D42EFC">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D42EFC">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D42EFC">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D42EFC">
        <w:trPr>
          <w:trHeight w:val="31"/>
        </w:trPr>
        <w:tc>
          <w:tcPr>
            <w:tcW w:w="828" w:type="dxa"/>
            <w:vAlign w:val="center"/>
          </w:tcPr>
          <w:p w14:paraId="063D6B5E" w14:textId="6EE083B5" w:rsidR="00B0479E" w:rsidRPr="00B534D5" w:rsidRDefault="00B0479E" w:rsidP="00DD3144">
            <w:pPr>
              <w:rPr>
                <w:b/>
                <w:bCs/>
              </w:rPr>
            </w:pPr>
            <w:r w:rsidRPr="00B534D5">
              <w:rPr>
                <w:b/>
                <w:bCs/>
              </w:rPr>
              <w:lastRenderedPageBreak/>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7A3FFE" w14:paraId="524AC1CC" w14:textId="77777777" w:rsidTr="00D42EFC">
        <w:trPr>
          <w:trHeight w:val="1020"/>
        </w:trPr>
        <w:tc>
          <w:tcPr>
            <w:tcW w:w="828" w:type="dxa"/>
            <w:vAlign w:val="center"/>
          </w:tcPr>
          <w:p w14:paraId="42397147" w14:textId="77777777" w:rsidR="007A3FFE" w:rsidRDefault="007A3FFE" w:rsidP="007A3FFE"/>
        </w:tc>
        <w:tc>
          <w:tcPr>
            <w:tcW w:w="9612" w:type="dxa"/>
            <w:gridSpan w:val="5"/>
            <w:vAlign w:val="center"/>
          </w:tcPr>
          <w:p w14:paraId="263820B0" w14:textId="78B19693" w:rsidR="007A3FFE" w:rsidRDefault="007A3FFE" w:rsidP="0030795E">
            <w:pPr>
              <w:jc w:val="both"/>
            </w:pP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D42EFC">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D42EFC">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D42EFC">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36177A8" w:rsidR="00EC42A1" w:rsidRDefault="00BC1584" w:rsidP="00DD3144">
            <w:r>
              <w:t>X</w:t>
            </w:r>
          </w:p>
        </w:tc>
      </w:tr>
      <w:tr w:rsidR="00EC42A1" w14:paraId="74BD9E00" w14:textId="77777777" w:rsidTr="00D42EFC">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D42EFC">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D42EFC">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6CA1A344" w:rsidR="00EC42A1" w:rsidRDefault="00F10DF1" w:rsidP="00DD3144">
            <w:r>
              <w:t>X</w:t>
            </w:r>
          </w:p>
        </w:tc>
      </w:tr>
      <w:tr w:rsidR="00EC42A1" w14:paraId="6EF3B20D" w14:textId="77777777" w:rsidTr="00D42EFC">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D42EFC">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6B905A3F" w:rsidR="00EC42A1" w:rsidRDefault="00E64624" w:rsidP="00DD3144">
            <w:r>
              <w:t>X</w:t>
            </w:r>
          </w:p>
        </w:tc>
      </w:tr>
      <w:tr w:rsidR="00EC42A1" w14:paraId="7906EB0B" w14:textId="77777777" w:rsidTr="00D42EFC">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D42EFC">
        <w:trPr>
          <w:trHeight w:val="1020"/>
        </w:trPr>
        <w:tc>
          <w:tcPr>
            <w:tcW w:w="828" w:type="dxa"/>
            <w:vAlign w:val="center"/>
          </w:tcPr>
          <w:p w14:paraId="0196AEA3" w14:textId="77777777" w:rsidR="00EC42A1" w:rsidRDefault="00EC42A1" w:rsidP="00DD3144"/>
        </w:tc>
        <w:tc>
          <w:tcPr>
            <w:tcW w:w="9612" w:type="dxa"/>
            <w:gridSpan w:val="5"/>
            <w:vAlign w:val="center"/>
          </w:tcPr>
          <w:p w14:paraId="7972DE7B" w14:textId="77777777" w:rsidR="00E64624" w:rsidRDefault="00E64624" w:rsidP="00E64624">
            <w:pPr>
              <w:jc w:val="both"/>
            </w:pPr>
            <w:r>
              <w:t xml:space="preserve">Entities subjected to Article 53 shall disclose information on </w:t>
            </w:r>
            <w:r w:rsidRPr="00D42EFC">
              <w:t>environmental, social and governance risks, including physical risks and transition risks</w:t>
            </w:r>
            <w:r>
              <w:t xml:space="preserve">, as defined in the report referred to in Article 35 of IFD. This Article 35 of IFD provides that </w:t>
            </w:r>
            <w:r w:rsidRPr="007A3FFE">
              <w:t>EBA shall prepare a report on the introduction of technical criteria related to exposures to activities associated substantially with environmental, social, and governance (ESG) objectives for the supervisory review and evaluation process, with a view to assessing the possible sources and effects of risks on investment firms, taking into account applicable Union legal acts in the field of ESG taxonomy.</w:t>
            </w:r>
            <w:r>
              <w:t xml:space="preserve"> </w:t>
            </w:r>
          </w:p>
          <w:p w14:paraId="46CE18A2" w14:textId="77777777" w:rsidR="00E64624" w:rsidRDefault="00E64624" w:rsidP="00E64624">
            <w:pPr>
              <w:jc w:val="both"/>
            </w:pPr>
            <w:r>
              <w:t>The EBA report shall comprise, amongst other things, a definition of ESG risks, including physical risks and transition risks related to the transition to a more sustainable economy, and, with regard to transition risks, including risks related to the depreciation of assets due to regulatory change, qualitative and quantitative criteria and metrics relevant for assessing such risks, as well as a methodology for assessing the possibility of such risks arising in the short, medium, or long term and the possibility of such risks having a material financial impact on an investment firm.</w:t>
            </w:r>
          </w:p>
          <w:p w14:paraId="253AF380" w14:textId="127FE390" w:rsidR="00552B87" w:rsidRPr="00552B87" w:rsidRDefault="00E64624" w:rsidP="00552B87">
            <w:pPr>
              <w:jc w:val="both"/>
              <w:rPr>
                <w:i/>
                <w:iCs/>
              </w:rPr>
            </w:pPr>
            <w:r>
              <w:t>The EBA Report EBA/REP/2022/26 refers to EBA/REP/2021/18 for the aforementioned definitions. Physical risks are defined as the “</w:t>
            </w:r>
            <w:r w:rsidRPr="00490D85">
              <w:rPr>
                <w:i/>
                <w:iCs/>
              </w:rPr>
              <w:t>risks of any negative financial impact on the institution stemming from the current or prospective impacts of the physical effects of environmental factors on its counterparties or invested assets.</w:t>
            </w:r>
            <w:r w:rsidR="00552B87">
              <w:rPr>
                <w:i/>
                <w:iCs/>
              </w:rPr>
              <w:t xml:space="preserve"> […] </w:t>
            </w:r>
            <w:r w:rsidR="00552B87" w:rsidRPr="00552B87">
              <w:rPr>
                <w:i/>
                <w:iCs/>
              </w:rPr>
              <w:t>Such physical effects include:</w:t>
            </w:r>
          </w:p>
          <w:p w14:paraId="619C350A" w14:textId="77777777" w:rsidR="00552B87" w:rsidRPr="00552B87" w:rsidRDefault="00552B87" w:rsidP="00552B87">
            <w:pPr>
              <w:ind w:left="720"/>
              <w:rPr>
                <w:i/>
                <w:iCs/>
              </w:rPr>
            </w:pPr>
            <w:r w:rsidRPr="00552B87">
              <w:rPr>
                <w:i/>
                <w:iCs/>
              </w:rPr>
              <w:t>a. acute physical effects, which arise from particular events, especially weather-related events such as storms, floods, fires or heatwaves or other environmental hazards that may damage production facilities and disrupt value chains; and</w:t>
            </w:r>
          </w:p>
          <w:p w14:paraId="0CB659C4" w14:textId="4096CB41" w:rsidR="00552B87" w:rsidRPr="00552B87" w:rsidRDefault="00552B87" w:rsidP="00552B87">
            <w:pPr>
              <w:ind w:left="720"/>
              <w:jc w:val="both"/>
              <w:rPr>
                <w:i/>
                <w:iCs/>
              </w:rPr>
            </w:pPr>
            <w:r w:rsidRPr="00552B87">
              <w:rPr>
                <w:i/>
                <w:iCs/>
              </w:rPr>
              <w:lastRenderedPageBreak/>
              <w:t>b. chronic physical effects, which arise from longer-term trends, such as temperature changes, rising sea levels, reduced water availability, biodiversity loss and changes in land and soil productivity.</w:t>
            </w:r>
            <w:r>
              <w:rPr>
                <w:i/>
                <w:iCs/>
              </w:rPr>
              <w:t>”</w:t>
            </w:r>
          </w:p>
        </w:tc>
      </w:tr>
      <w:tr w:rsidR="00EC42A1" w14:paraId="0DA41032" w14:textId="77777777" w:rsidTr="00D42EFC">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D42EFC">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D42EFC">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4815B110" w:rsidR="00EC42A1" w:rsidRDefault="00552B87" w:rsidP="00DD3144">
            <w:r>
              <w:t>X</w:t>
            </w:r>
          </w:p>
        </w:tc>
      </w:tr>
      <w:tr w:rsidR="00EC42A1" w14:paraId="3F5A078D" w14:textId="77777777" w:rsidTr="00D42EFC">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03368AC8" w:rsidR="00EC42A1" w:rsidRDefault="00552B87" w:rsidP="00DD3144">
            <w:r>
              <w:t>X</w:t>
            </w:r>
          </w:p>
        </w:tc>
      </w:tr>
      <w:tr w:rsidR="00EC42A1" w14:paraId="6DB7FA2D" w14:textId="77777777" w:rsidTr="00D42EFC">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5E76D792" w:rsidR="00EC42A1" w:rsidRDefault="00552B87"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D42EFC">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D42EFC">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D42EFC">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ABD791E" w:rsidR="00484663" w:rsidRDefault="00F10DF1" w:rsidP="00DD3144">
            <w:r>
              <w:t>X</w:t>
            </w:r>
          </w:p>
        </w:tc>
      </w:tr>
      <w:tr w:rsidR="00484663" w14:paraId="20088A84" w14:textId="77777777" w:rsidTr="00D42EFC">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D42EFC">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D42EFC">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0481C16" w:rsidR="00484663" w:rsidRDefault="00F10DF1" w:rsidP="00DD3144">
            <w:r>
              <w:t>X</w:t>
            </w:r>
          </w:p>
        </w:tc>
      </w:tr>
      <w:tr w:rsidR="00484663" w14:paraId="13848922" w14:textId="77777777" w:rsidTr="00D42EFC">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202ED903" w:rsidR="00484663" w:rsidRDefault="00484663" w:rsidP="00DD3144"/>
        </w:tc>
      </w:tr>
      <w:tr w:rsidR="00484663" w14:paraId="7938F854" w14:textId="77777777" w:rsidTr="00D42EFC">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296A4339" w:rsidR="00484663" w:rsidRDefault="00F10DF1" w:rsidP="00DD3144">
            <w:r>
              <w:t>X</w:t>
            </w:r>
          </w:p>
        </w:tc>
      </w:tr>
      <w:tr w:rsidR="00484663" w14:paraId="04E97640" w14:textId="77777777" w:rsidTr="00D42EFC">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F10DF1" w14:paraId="0535BBE4" w14:textId="77777777" w:rsidTr="00D42EFC">
        <w:trPr>
          <w:trHeight w:val="1020"/>
        </w:trPr>
        <w:tc>
          <w:tcPr>
            <w:tcW w:w="828" w:type="dxa"/>
            <w:vAlign w:val="center"/>
          </w:tcPr>
          <w:p w14:paraId="68A548C6" w14:textId="77777777" w:rsidR="00F10DF1" w:rsidRDefault="00F10DF1" w:rsidP="00F10DF1"/>
        </w:tc>
        <w:tc>
          <w:tcPr>
            <w:tcW w:w="9612" w:type="dxa"/>
            <w:gridSpan w:val="5"/>
            <w:vAlign w:val="center"/>
          </w:tcPr>
          <w:p w14:paraId="11A47CE3" w14:textId="77777777" w:rsidR="00F10DF1" w:rsidRDefault="00F10DF1" w:rsidP="00F10DF1">
            <w:pPr>
              <w:jc w:val="both"/>
            </w:pPr>
            <w:r>
              <w:t xml:space="preserve">Entities subjected to Article 53 shall disclose information on </w:t>
            </w:r>
            <w:r w:rsidRPr="00D42EFC">
              <w:t>environmental, social and governance risks, including physical risks and transition risks</w:t>
            </w:r>
            <w:r>
              <w:t xml:space="preserve">, as defined in the report referred to in Article 35 of IFD. This Article 35 of IFD provides that </w:t>
            </w:r>
            <w:r w:rsidRPr="007A3FFE">
              <w:t xml:space="preserve">EBA shall prepare a report on the introduction of technical criteria related to exposures to activities associated substantially with environmental, social, and governance (ESG) objectives for the supervisory review and evaluation process, with a </w:t>
            </w:r>
            <w:r w:rsidRPr="007A3FFE">
              <w:lastRenderedPageBreak/>
              <w:t>view to assessing the possible sources and effects of risks on investment firms, taking into account applicable Union legal acts in the field of ESG taxonomy.</w:t>
            </w:r>
            <w:r>
              <w:t xml:space="preserve"> </w:t>
            </w:r>
          </w:p>
          <w:p w14:paraId="6E57D5FF" w14:textId="77777777" w:rsidR="00F10DF1" w:rsidRDefault="00F10DF1" w:rsidP="00F10DF1">
            <w:pPr>
              <w:jc w:val="both"/>
            </w:pPr>
            <w:r>
              <w:t>The EBA report shall comprise, amongst other things, a definition of ESG risks, including physical risks and transition risks related to the transition to a more sustainable economy, and, with regard to transition risks, including risks related to the depreciation of assets due to regulatory change, qualitative and quantitative criteria and metrics relevant for assessing such risks, as well as a methodology for assessing the possibility of such risks arising in the short, medium, or long term and the possibility of such risks having a material financial impact on an investment firm.</w:t>
            </w:r>
          </w:p>
          <w:p w14:paraId="337AFF6B" w14:textId="77777777" w:rsidR="00F10DF1" w:rsidRPr="00F10DF1" w:rsidRDefault="00F10DF1" w:rsidP="00F10DF1">
            <w:pPr>
              <w:jc w:val="both"/>
              <w:rPr>
                <w:i/>
                <w:iCs/>
              </w:rPr>
            </w:pPr>
            <w:r>
              <w:t>The EBA Report EBA/REP/2022/26 refers to EBA/REP/2021/18 for the aforementioned definitions. Transition risks are defined as the “</w:t>
            </w:r>
            <w:r w:rsidRPr="00F10DF1">
              <w:rPr>
                <w:i/>
                <w:iCs/>
              </w:rPr>
              <w:t>risks of any negative financial impact on the institution stemming from the current or prospective impacts of the transition to an environmentally sustainable economy on its counterparties or invested assets.</w:t>
            </w:r>
            <w:r>
              <w:rPr>
                <w:i/>
                <w:iCs/>
              </w:rPr>
              <w:t xml:space="preserve"> </w:t>
            </w:r>
            <w:r w:rsidRPr="00F10DF1">
              <w:rPr>
                <w:i/>
                <w:iCs/>
              </w:rPr>
              <w:t>This includes:</w:t>
            </w:r>
          </w:p>
          <w:p w14:paraId="10A57262" w14:textId="77777777" w:rsidR="00F10DF1" w:rsidRPr="00F10DF1" w:rsidRDefault="00F10DF1" w:rsidP="00F10DF1">
            <w:pPr>
              <w:ind w:left="720"/>
              <w:rPr>
                <w:i/>
                <w:iCs/>
              </w:rPr>
            </w:pPr>
            <w:r w:rsidRPr="00F10DF1">
              <w:rPr>
                <w:i/>
                <w:iCs/>
              </w:rPr>
              <w:t>▪ climate and environment related policy changes, for example, as a result of energy efficiency requirements, carbon-pricing mechanisms that increase the price of fossil fuels, or policies to encourage a sustainable use of environmental resources;</w:t>
            </w:r>
          </w:p>
          <w:p w14:paraId="3621CA28" w14:textId="77777777" w:rsidR="00F10DF1" w:rsidRPr="00F10DF1" w:rsidRDefault="00F10DF1" w:rsidP="00F10DF1">
            <w:pPr>
              <w:ind w:left="720"/>
              <w:rPr>
                <w:i/>
                <w:iCs/>
              </w:rPr>
            </w:pPr>
            <w:r w:rsidRPr="00F10DF1">
              <w:rPr>
                <w:i/>
                <w:iCs/>
              </w:rPr>
              <w:t>▪ technological changes, for example, if a technology with a less damaging impact on the climate or the environment replaces a technology that is more damaging, hence making it obsolete or uncompetitive;</w:t>
            </w:r>
          </w:p>
          <w:p w14:paraId="0B6A39BD" w14:textId="0953413A" w:rsidR="00F10DF1" w:rsidRPr="00F10DF1" w:rsidRDefault="00F10DF1" w:rsidP="00F10DF1">
            <w:pPr>
              <w:ind w:left="720"/>
              <w:rPr>
                <w:i/>
                <w:iCs/>
              </w:rPr>
            </w:pPr>
            <w:r w:rsidRPr="00F10DF1">
              <w:rPr>
                <w:i/>
                <w:iCs/>
              </w:rPr>
              <w:t>▪ behavioural changes, for example, if the choices of consumers and investors shift towards products and services that are more sustainable; or if it becomes more difficult</w:t>
            </w:r>
            <w:r>
              <w:rPr>
                <w:i/>
                <w:iCs/>
              </w:rPr>
              <w:t xml:space="preserve"> </w:t>
            </w:r>
            <w:r w:rsidRPr="00F10DF1">
              <w:rPr>
                <w:i/>
                <w:iCs/>
              </w:rPr>
              <w:t>to attract and retain customers, employees, business partners and investors when a counterparty has a reputation for damaging the climate and the environment.</w:t>
            </w:r>
            <w:r>
              <w:rPr>
                <w:i/>
                <w:iCs/>
              </w:rPr>
              <w:t>”</w:t>
            </w:r>
          </w:p>
        </w:tc>
      </w:tr>
      <w:tr w:rsidR="00484663" w14:paraId="3F0F196A" w14:textId="77777777" w:rsidTr="00D42EFC">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D42EFC">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D42EFC">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59FA0DC2" w:rsidR="00484663" w:rsidRDefault="00F10DF1" w:rsidP="00DD3144">
            <w:r>
              <w:t>X</w:t>
            </w:r>
          </w:p>
        </w:tc>
      </w:tr>
      <w:tr w:rsidR="00484663" w14:paraId="24BE2638" w14:textId="77777777" w:rsidTr="00D42EFC">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68EEB473" w:rsidR="00484663" w:rsidRDefault="00F10DF1" w:rsidP="00DD3144">
            <w:r>
              <w:t>X</w:t>
            </w:r>
          </w:p>
        </w:tc>
      </w:tr>
      <w:tr w:rsidR="00484663" w14:paraId="2D11877E" w14:textId="77777777" w:rsidTr="00D42EFC">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288D8BFA" w:rsidR="00484663" w:rsidRDefault="00F10DF1"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D42EFC">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D42EFC">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D42EFC">
        <w:trPr>
          <w:trHeight w:val="224"/>
        </w:trPr>
        <w:tc>
          <w:tcPr>
            <w:tcW w:w="828" w:type="dxa"/>
            <w:shd w:val="clear" w:color="auto" w:fill="auto"/>
            <w:vAlign w:val="center"/>
          </w:tcPr>
          <w:p w14:paraId="22999AA5" w14:textId="142CEDBC" w:rsidR="00484663" w:rsidRDefault="00484663" w:rsidP="00DD3144">
            <w:r>
              <w:lastRenderedPageBreak/>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D42EFC">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D42EFC">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D42EFC">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D42EFC">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D42EFC">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D42EFC">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D42EFC">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D42EFC">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D42EFC">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D42EFC">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D42EFC">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D42EFC">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D42EFC">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D42EFC">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D42EFC">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D42EFC">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D42EFC">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D42EFC">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D42EFC">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D42EFC">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D42EFC">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D42EFC">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D42EFC">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D42EFC">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D42EFC">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D42EFC">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D42EFC">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D42EFC">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D42EFC">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D42EFC">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D42EFC">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D42EFC">
        <w:tc>
          <w:tcPr>
            <w:tcW w:w="828" w:type="dxa"/>
            <w:vAlign w:val="center"/>
          </w:tcPr>
          <w:p w14:paraId="25524B32" w14:textId="001E6FCE" w:rsidR="00484663" w:rsidRPr="002E41E2" w:rsidRDefault="00484663" w:rsidP="00DD3144">
            <w:pPr>
              <w:rPr>
                <w:b/>
                <w:bCs/>
              </w:rPr>
            </w:pPr>
            <w:r>
              <w:rPr>
                <w:b/>
                <w:bCs/>
              </w:rPr>
              <w:lastRenderedPageBreak/>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D42EFC">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93FB462" w:rsidR="00DA416F" w:rsidRPr="00DD3144" w:rsidRDefault="00F10DF1" w:rsidP="00DD3144">
            <w:pPr>
              <w:keepNext/>
              <w:rPr>
                <w:rFonts w:ascii="Calibri" w:hAnsi="Calibri" w:cs="Calibri"/>
              </w:rPr>
            </w:pPr>
            <w:r>
              <w:rPr>
                <w:rFonts w:ascii="Calibri" w:hAnsi="Calibri" w:cs="Calibri"/>
              </w:rPr>
              <w:t>X</w:t>
            </w:r>
          </w:p>
        </w:tc>
      </w:tr>
      <w:tr w:rsidR="00F10DF1" w:rsidRPr="00DD3144" w14:paraId="0EE095AE" w14:textId="77777777" w:rsidTr="00DD75E5">
        <w:trPr>
          <w:trHeight w:val="21"/>
        </w:trPr>
        <w:tc>
          <w:tcPr>
            <w:tcW w:w="1066" w:type="dxa"/>
            <w:vAlign w:val="center"/>
          </w:tcPr>
          <w:p w14:paraId="66706435" w14:textId="13DF52EA" w:rsidR="00F10DF1" w:rsidRPr="00DD3144" w:rsidRDefault="00F10DF1" w:rsidP="00F10DF1">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F10DF1" w:rsidRPr="00DD3144" w:rsidRDefault="00F10DF1" w:rsidP="00F10DF1">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F10DF1" w:rsidRPr="00DD3144" w:rsidRDefault="00F10DF1" w:rsidP="00F10DF1">
            <w:pPr>
              <w:keepNext/>
              <w:rPr>
                <w:rFonts w:ascii="Calibri" w:hAnsi="Calibri" w:cs="Calibri"/>
              </w:rPr>
            </w:pPr>
          </w:p>
        </w:tc>
        <w:tc>
          <w:tcPr>
            <w:tcW w:w="1503" w:type="dxa"/>
            <w:vAlign w:val="center"/>
          </w:tcPr>
          <w:p w14:paraId="37E1EB84" w14:textId="77777777" w:rsidR="00F10DF1" w:rsidRPr="00DD3144" w:rsidRDefault="00F10DF1" w:rsidP="00F10DF1">
            <w:pPr>
              <w:keepNext/>
              <w:rPr>
                <w:rFonts w:ascii="Calibri" w:hAnsi="Calibri" w:cs="Calibri"/>
              </w:rPr>
            </w:pPr>
          </w:p>
        </w:tc>
        <w:tc>
          <w:tcPr>
            <w:tcW w:w="1503" w:type="dxa"/>
          </w:tcPr>
          <w:p w14:paraId="00C1337B" w14:textId="1EA9175C"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25BB58DF" w14:textId="77777777" w:rsidTr="00DD75E5">
        <w:trPr>
          <w:trHeight w:val="21"/>
        </w:trPr>
        <w:tc>
          <w:tcPr>
            <w:tcW w:w="1066" w:type="dxa"/>
            <w:vAlign w:val="center"/>
          </w:tcPr>
          <w:p w14:paraId="58DAFD31" w14:textId="191EEAFC" w:rsidR="00F10DF1" w:rsidRPr="00DD3144" w:rsidRDefault="00F10DF1" w:rsidP="00F10DF1">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F10DF1" w:rsidRPr="00DD3144" w:rsidRDefault="00F10DF1" w:rsidP="00F10DF1">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F10DF1" w:rsidRPr="00DD3144" w:rsidRDefault="00F10DF1" w:rsidP="00F10DF1">
            <w:pPr>
              <w:keepNext/>
              <w:rPr>
                <w:rFonts w:ascii="Calibri" w:hAnsi="Calibri" w:cs="Calibri"/>
              </w:rPr>
            </w:pPr>
          </w:p>
        </w:tc>
        <w:tc>
          <w:tcPr>
            <w:tcW w:w="1503" w:type="dxa"/>
            <w:vAlign w:val="center"/>
          </w:tcPr>
          <w:p w14:paraId="5A50D045" w14:textId="77777777" w:rsidR="00F10DF1" w:rsidRPr="00DD3144" w:rsidRDefault="00F10DF1" w:rsidP="00F10DF1">
            <w:pPr>
              <w:keepNext/>
              <w:rPr>
                <w:rFonts w:ascii="Calibri" w:hAnsi="Calibri" w:cs="Calibri"/>
              </w:rPr>
            </w:pPr>
          </w:p>
        </w:tc>
        <w:tc>
          <w:tcPr>
            <w:tcW w:w="1503" w:type="dxa"/>
          </w:tcPr>
          <w:p w14:paraId="643022FE" w14:textId="57F1E396"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71860055" w14:textId="77777777" w:rsidTr="00DD75E5">
        <w:trPr>
          <w:trHeight w:val="21"/>
        </w:trPr>
        <w:tc>
          <w:tcPr>
            <w:tcW w:w="1066" w:type="dxa"/>
            <w:vAlign w:val="center"/>
          </w:tcPr>
          <w:p w14:paraId="1F4D1A63" w14:textId="4DF2965F" w:rsidR="00F10DF1" w:rsidRPr="00DD3144" w:rsidRDefault="00F10DF1" w:rsidP="00F10DF1">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F10DF1" w:rsidRPr="00DD3144" w:rsidRDefault="00F10DF1" w:rsidP="00F10DF1">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F10DF1" w:rsidRPr="00DD3144" w:rsidRDefault="00F10DF1" w:rsidP="00F10DF1">
            <w:pPr>
              <w:keepNext/>
              <w:rPr>
                <w:rFonts w:ascii="Calibri" w:hAnsi="Calibri" w:cs="Calibri"/>
              </w:rPr>
            </w:pPr>
          </w:p>
        </w:tc>
        <w:tc>
          <w:tcPr>
            <w:tcW w:w="1503" w:type="dxa"/>
            <w:vAlign w:val="center"/>
          </w:tcPr>
          <w:p w14:paraId="436F514C" w14:textId="77777777" w:rsidR="00F10DF1" w:rsidRPr="00DD3144" w:rsidRDefault="00F10DF1" w:rsidP="00F10DF1">
            <w:pPr>
              <w:keepNext/>
              <w:rPr>
                <w:rFonts w:ascii="Calibri" w:hAnsi="Calibri" w:cs="Calibri"/>
              </w:rPr>
            </w:pPr>
          </w:p>
        </w:tc>
        <w:tc>
          <w:tcPr>
            <w:tcW w:w="1503" w:type="dxa"/>
          </w:tcPr>
          <w:p w14:paraId="6BFA045B" w14:textId="75B4D00C"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1D4273A0" w14:textId="77777777" w:rsidTr="00DD75E5">
        <w:trPr>
          <w:trHeight w:val="21"/>
        </w:trPr>
        <w:tc>
          <w:tcPr>
            <w:tcW w:w="1066" w:type="dxa"/>
            <w:vAlign w:val="center"/>
          </w:tcPr>
          <w:p w14:paraId="3CC79EA9" w14:textId="14DE5E9E" w:rsidR="00F10DF1" w:rsidRPr="00DD3144" w:rsidRDefault="00F10DF1" w:rsidP="00F10DF1">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F10DF1" w:rsidRPr="00DD3144" w:rsidRDefault="00F10DF1" w:rsidP="00F10DF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F10DF1" w:rsidRPr="00DD3144" w:rsidRDefault="00F10DF1" w:rsidP="00F10DF1">
            <w:pPr>
              <w:keepNext/>
              <w:rPr>
                <w:rFonts w:ascii="Calibri" w:hAnsi="Calibri" w:cs="Calibri"/>
              </w:rPr>
            </w:pPr>
          </w:p>
        </w:tc>
        <w:tc>
          <w:tcPr>
            <w:tcW w:w="1503" w:type="dxa"/>
            <w:vAlign w:val="center"/>
          </w:tcPr>
          <w:p w14:paraId="50388F17" w14:textId="77777777" w:rsidR="00F10DF1" w:rsidRPr="00DD3144" w:rsidRDefault="00F10DF1" w:rsidP="00F10DF1">
            <w:pPr>
              <w:keepNext/>
              <w:rPr>
                <w:rFonts w:ascii="Calibri" w:hAnsi="Calibri" w:cs="Calibri"/>
              </w:rPr>
            </w:pPr>
          </w:p>
        </w:tc>
        <w:tc>
          <w:tcPr>
            <w:tcW w:w="1503" w:type="dxa"/>
          </w:tcPr>
          <w:p w14:paraId="511E94E2" w14:textId="349E6567"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5EDA28CC" w14:textId="77777777" w:rsidTr="00DD75E5">
        <w:trPr>
          <w:trHeight w:val="21"/>
        </w:trPr>
        <w:tc>
          <w:tcPr>
            <w:tcW w:w="1066" w:type="dxa"/>
            <w:vAlign w:val="center"/>
          </w:tcPr>
          <w:p w14:paraId="195A8C95" w14:textId="2E1EA294" w:rsidR="00F10DF1" w:rsidRPr="00DD3144" w:rsidRDefault="00F10DF1" w:rsidP="00F10DF1">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F10DF1" w:rsidRPr="00DD3144" w:rsidRDefault="00F10DF1" w:rsidP="00F10DF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F10DF1" w:rsidRPr="00DD3144" w:rsidRDefault="00F10DF1" w:rsidP="00F10DF1">
            <w:pPr>
              <w:keepNext/>
              <w:rPr>
                <w:rFonts w:ascii="Calibri" w:hAnsi="Calibri" w:cs="Calibri"/>
              </w:rPr>
            </w:pPr>
          </w:p>
        </w:tc>
        <w:tc>
          <w:tcPr>
            <w:tcW w:w="1503" w:type="dxa"/>
            <w:vAlign w:val="center"/>
          </w:tcPr>
          <w:p w14:paraId="2B1421D3" w14:textId="77777777" w:rsidR="00F10DF1" w:rsidRPr="00DD3144" w:rsidRDefault="00F10DF1" w:rsidP="00F10DF1">
            <w:pPr>
              <w:keepNext/>
              <w:rPr>
                <w:rFonts w:ascii="Calibri" w:hAnsi="Calibri" w:cs="Calibri"/>
              </w:rPr>
            </w:pPr>
          </w:p>
        </w:tc>
        <w:tc>
          <w:tcPr>
            <w:tcW w:w="1503" w:type="dxa"/>
          </w:tcPr>
          <w:p w14:paraId="41CFE03C" w14:textId="3BA502CD"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1E3AA1B7" w14:textId="77777777" w:rsidTr="00DD75E5">
        <w:trPr>
          <w:trHeight w:val="21"/>
        </w:trPr>
        <w:tc>
          <w:tcPr>
            <w:tcW w:w="1066" w:type="dxa"/>
            <w:vAlign w:val="center"/>
          </w:tcPr>
          <w:p w14:paraId="725C137E" w14:textId="6A1C8B2A" w:rsidR="00F10DF1" w:rsidRPr="00DD3144" w:rsidRDefault="00F10DF1" w:rsidP="00F10DF1">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F10DF1" w:rsidRPr="00DD3144" w:rsidRDefault="00F10DF1" w:rsidP="00F10DF1">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F10DF1" w:rsidRPr="00DD3144" w:rsidRDefault="00F10DF1" w:rsidP="00F10DF1">
            <w:pPr>
              <w:keepNext/>
              <w:rPr>
                <w:rFonts w:ascii="Calibri" w:hAnsi="Calibri" w:cs="Calibri"/>
              </w:rPr>
            </w:pPr>
          </w:p>
        </w:tc>
        <w:tc>
          <w:tcPr>
            <w:tcW w:w="1503" w:type="dxa"/>
            <w:vAlign w:val="center"/>
          </w:tcPr>
          <w:p w14:paraId="6A95D2AD" w14:textId="77777777" w:rsidR="00F10DF1" w:rsidRPr="00DD3144" w:rsidRDefault="00F10DF1" w:rsidP="00F10DF1">
            <w:pPr>
              <w:keepNext/>
              <w:rPr>
                <w:rFonts w:ascii="Calibri" w:hAnsi="Calibri" w:cs="Calibri"/>
              </w:rPr>
            </w:pPr>
          </w:p>
        </w:tc>
        <w:tc>
          <w:tcPr>
            <w:tcW w:w="1503" w:type="dxa"/>
          </w:tcPr>
          <w:p w14:paraId="5164AC81" w14:textId="446938E8"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594598C8" w14:textId="77777777" w:rsidTr="00DD75E5">
        <w:trPr>
          <w:trHeight w:val="21"/>
        </w:trPr>
        <w:tc>
          <w:tcPr>
            <w:tcW w:w="1066" w:type="dxa"/>
            <w:vAlign w:val="center"/>
          </w:tcPr>
          <w:p w14:paraId="4A5A9C95" w14:textId="182CDDD2" w:rsidR="00F10DF1" w:rsidRPr="00DD3144" w:rsidRDefault="00F10DF1" w:rsidP="00F10DF1">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F10DF1" w:rsidRPr="00DD3144" w:rsidRDefault="00F10DF1" w:rsidP="00F10DF1">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F10DF1" w:rsidRPr="00DD3144" w:rsidRDefault="00F10DF1" w:rsidP="00F10DF1">
            <w:pPr>
              <w:keepNext/>
              <w:rPr>
                <w:rFonts w:ascii="Calibri" w:hAnsi="Calibri" w:cs="Calibri"/>
              </w:rPr>
            </w:pPr>
          </w:p>
        </w:tc>
        <w:tc>
          <w:tcPr>
            <w:tcW w:w="1503" w:type="dxa"/>
            <w:vAlign w:val="center"/>
          </w:tcPr>
          <w:p w14:paraId="23AB5197" w14:textId="77777777" w:rsidR="00F10DF1" w:rsidRPr="00DD3144" w:rsidRDefault="00F10DF1" w:rsidP="00F10DF1">
            <w:pPr>
              <w:keepNext/>
              <w:rPr>
                <w:rFonts w:ascii="Calibri" w:hAnsi="Calibri" w:cs="Calibri"/>
              </w:rPr>
            </w:pPr>
          </w:p>
        </w:tc>
        <w:tc>
          <w:tcPr>
            <w:tcW w:w="1503" w:type="dxa"/>
          </w:tcPr>
          <w:p w14:paraId="1135D553" w14:textId="13B8EC3C"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3809E14A" w14:textId="77777777" w:rsidTr="00DD75E5">
        <w:trPr>
          <w:trHeight w:val="21"/>
        </w:trPr>
        <w:tc>
          <w:tcPr>
            <w:tcW w:w="1066" w:type="dxa"/>
            <w:vAlign w:val="center"/>
          </w:tcPr>
          <w:p w14:paraId="5E03235F" w14:textId="71646663" w:rsidR="00F10DF1" w:rsidRPr="00DD3144" w:rsidRDefault="00F10DF1" w:rsidP="00F10DF1">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F10DF1" w:rsidRPr="00DD3144" w:rsidRDefault="00F10DF1" w:rsidP="00F10DF1">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F10DF1" w:rsidRPr="00DD3144" w:rsidRDefault="00F10DF1" w:rsidP="00F10DF1">
            <w:pPr>
              <w:keepNext/>
              <w:rPr>
                <w:rFonts w:ascii="Calibri" w:hAnsi="Calibri" w:cs="Calibri"/>
              </w:rPr>
            </w:pPr>
          </w:p>
        </w:tc>
        <w:tc>
          <w:tcPr>
            <w:tcW w:w="1503" w:type="dxa"/>
            <w:vAlign w:val="center"/>
          </w:tcPr>
          <w:p w14:paraId="18B7F8D2" w14:textId="77777777" w:rsidR="00F10DF1" w:rsidRPr="00DD3144" w:rsidRDefault="00F10DF1" w:rsidP="00F10DF1">
            <w:pPr>
              <w:keepNext/>
              <w:rPr>
                <w:rFonts w:ascii="Calibri" w:hAnsi="Calibri" w:cs="Calibri"/>
              </w:rPr>
            </w:pPr>
          </w:p>
        </w:tc>
        <w:tc>
          <w:tcPr>
            <w:tcW w:w="1503" w:type="dxa"/>
          </w:tcPr>
          <w:p w14:paraId="3970D0E0" w14:textId="384B6601"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473292FC" w14:textId="77777777" w:rsidTr="00DD75E5">
        <w:trPr>
          <w:trHeight w:val="21"/>
        </w:trPr>
        <w:tc>
          <w:tcPr>
            <w:tcW w:w="1066" w:type="dxa"/>
            <w:vAlign w:val="center"/>
          </w:tcPr>
          <w:p w14:paraId="53DD17BE" w14:textId="3B9A0219" w:rsidR="00F10DF1" w:rsidRPr="00DD3144" w:rsidRDefault="00F10DF1" w:rsidP="00F10DF1">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F10DF1" w:rsidRPr="00DD3144" w:rsidRDefault="00F10DF1" w:rsidP="00F10DF1">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F10DF1" w:rsidRPr="00DD3144" w:rsidRDefault="00F10DF1" w:rsidP="00F10DF1">
            <w:pPr>
              <w:keepNext/>
              <w:rPr>
                <w:rFonts w:ascii="Calibri" w:hAnsi="Calibri" w:cs="Calibri"/>
              </w:rPr>
            </w:pPr>
          </w:p>
        </w:tc>
        <w:tc>
          <w:tcPr>
            <w:tcW w:w="1503" w:type="dxa"/>
            <w:vAlign w:val="center"/>
          </w:tcPr>
          <w:p w14:paraId="230AA808" w14:textId="77777777" w:rsidR="00F10DF1" w:rsidRPr="00DD3144" w:rsidRDefault="00F10DF1" w:rsidP="00F10DF1">
            <w:pPr>
              <w:keepNext/>
              <w:rPr>
                <w:rFonts w:ascii="Calibri" w:hAnsi="Calibri" w:cs="Calibri"/>
              </w:rPr>
            </w:pPr>
          </w:p>
        </w:tc>
        <w:tc>
          <w:tcPr>
            <w:tcW w:w="1503" w:type="dxa"/>
          </w:tcPr>
          <w:p w14:paraId="3C133059" w14:textId="3F9514A6"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07CC5108" w14:textId="77777777" w:rsidTr="00DD75E5">
        <w:trPr>
          <w:trHeight w:val="21"/>
        </w:trPr>
        <w:tc>
          <w:tcPr>
            <w:tcW w:w="1066" w:type="dxa"/>
            <w:vAlign w:val="center"/>
          </w:tcPr>
          <w:p w14:paraId="2D96051D" w14:textId="2B9A8336" w:rsidR="00F10DF1" w:rsidRPr="00DD3144" w:rsidRDefault="00F10DF1" w:rsidP="00F10DF1">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F10DF1" w:rsidRPr="00DD3144" w:rsidRDefault="00F10DF1" w:rsidP="00F10DF1">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F10DF1" w:rsidRPr="00DD3144" w:rsidRDefault="00F10DF1" w:rsidP="00F10DF1">
            <w:pPr>
              <w:keepNext/>
              <w:rPr>
                <w:rFonts w:ascii="Calibri" w:hAnsi="Calibri" w:cs="Calibri"/>
              </w:rPr>
            </w:pPr>
          </w:p>
        </w:tc>
        <w:tc>
          <w:tcPr>
            <w:tcW w:w="1503" w:type="dxa"/>
            <w:vAlign w:val="center"/>
          </w:tcPr>
          <w:p w14:paraId="0ECDAE1F" w14:textId="77777777" w:rsidR="00F10DF1" w:rsidRPr="00DD3144" w:rsidRDefault="00F10DF1" w:rsidP="00F10DF1">
            <w:pPr>
              <w:keepNext/>
              <w:rPr>
                <w:rFonts w:ascii="Calibri" w:hAnsi="Calibri" w:cs="Calibri"/>
              </w:rPr>
            </w:pPr>
          </w:p>
        </w:tc>
        <w:tc>
          <w:tcPr>
            <w:tcW w:w="1503" w:type="dxa"/>
          </w:tcPr>
          <w:p w14:paraId="4CF5ABCA" w14:textId="5545E771"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41FB20E6" w14:textId="77777777" w:rsidTr="00DD75E5">
        <w:trPr>
          <w:trHeight w:val="21"/>
        </w:trPr>
        <w:tc>
          <w:tcPr>
            <w:tcW w:w="1066" w:type="dxa"/>
            <w:vAlign w:val="center"/>
          </w:tcPr>
          <w:p w14:paraId="514868D7" w14:textId="1D9B58AB" w:rsidR="00F10DF1" w:rsidRPr="00DD3144" w:rsidRDefault="00F10DF1" w:rsidP="00F10DF1">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F10DF1" w:rsidRPr="00DD3144" w:rsidRDefault="00F10DF1" w:rsidP="00F10DF1">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F10DF1" w:rsidRPr="00DD3144" w:rsidRDefault="00F10DF1" w:rsidP="00F10DF1">
            <w:pPr>
              <w:keepNext/>
              <w:rPr>
                <w:rFonts w:ascii="Calibri" w:hAnsi="Calibri" w:cs="Calibri"/>
              </w:rPr>
            </w:pPr>
          </w:p>
        </w:tc>
        <w:tc>
          <w:tcPr>
            <w:tcW w:w="1503" w:type="dxa"/>
            <w:vAlign w:val="center"/>
          </w:tcPr>
          <w:p w14:paraId="77C75A90" w14:textId="77777777" w:rsidR="00F10DF1" w:rsidRPr="00DD3144" w:rsidRDefault="00F10DF1" w:rsidP="00F10DF1">
            <w:pPr>
              <w:keepNext/>
              <w:rPr>
                <w:rFonts w:ascii="Calibri" w:hAnsi="Calibri" w:cs="Calibri"/>
              </w:rPr>
            </w:pPr>
          </w:p>
        </w:tc>
        <w:tc>
          <w:tcPr>
            <w:tcW w:w="1503" w:type="dxa"/>
          </w:tcPr>
          <w:p w14:paraId="751F0476" w14:textId="75CCAA4C" w:rsidR="00F10DF1" w:rsidRPr="00DD3144" w:rsidRDefault="00F10DF1" w:rsidP="00F10DF1">
            <w:pPr>
              <w:keepNext/>
              <w:rPr>
                <w:rFonts w:ascii="Calibri" w:hAnsi="Calibri" w:cs="Calibri"/>
              </w:rPr>
            </w:pPr>
            <w:r w:rsidRPr="00AE3AA5">
              <w:rPr>
                <w:rFonts w:ascii="Calibri" w:hAnsi="Calibri" w:cs="Calibri"/>
              </w:rPr>
              <w:t>X</w:t>
            </w:r>
          </w:p>
        </w:tc>
      </w:tr>
      <w:tr w:rsidR="00F10DF1" w:rsidRPr="00DD3144" w14:paraId="26F5557C" w14:textId="77777777" w:rsidTr="00DD75E5">
        <w:trPr>
          <w:trHeight w:val="21"/>
        </w:trPr>
        <w:tc>
          <w:tcPr>
            <w:tcW w:w="1066" w:type="dxa"/>
            <w:vAlign w:val="center"/>
          </w:tcPr>
          <w:p w14:paraId="4CD25790" w14:textId="17D8D33B" w:rsidR="00F10DF1" w:rsidRPr="00DD3144" w:rsidRDefault="00F10DF1" w:rsidP="00F10DF1">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F10DF1" w:rsidRPr="00DD3144" w:rsidRDefault="00F10DF1" w:rsidP="00F10DF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F10DF1" w:rsidRPr="00DD3144" w:rsidRDefault="00F10DF1" w:rsidP="00F10DF1">
            <w:pPr>
              <w:keepNext/>
              <w:rPr>
                <w:rFonts w:ascii="Calibri" w:hAnsi="Calibri" w:cs="Calibri"/>
              </w:rPr>
            </w:pPr>
          </w:p>
        </w:tc>
        <w:tc>
          <w:tcPr>
            <w:tcW w:w="1503" w:type="dxa"/>
            <w:vAlign w:val="center"/>
          </w:tcPr>
          <w:p w14:paraId="283A24A1" w14:textId="77777777" w:rsidR="00F10DF1" w:rsidRPr="00DD3144" w:rsidRDefault="00F10DF1" w:rsidP="00F10DF1">
            <w:pPr>
              <w:keepNext/>
              <w:rPr>
                <w:rFonts w:ascii="Calibri" w:hAnsi="Calibri" w:cs="Calibri"/>
              </w:rPr>
            </w:pPr>
          </w:p>
        </w:tc>
        <w:tc>
          <w:tcPr>
            <w:tcW w:w="1503" w:type="dxa"/>
          </w:tcPr>
          <w:p w14:paraId="52CD3EF6" w14:textId="47AE140E" w:rsidR="00F10DF1" w:rsidRPr="00DD3144" w:rsidRDefault="00F10DF1" w:rsidP="00F10DF1">
            <w:pPr>
              <w:keepNext/>
              <w:rPr>
                <w:rFonts w:ascii="Calibri" w:hAnsi="Calibri" w:cs="Calibri"/>
              </w:rPr>
            </w:pPr>
            <w:r w:rsidRPr="00AE3AA5">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C442D08" w:rsidR="00DA416F" w:rsidRPr="00DD3144" w:rsidRDefault="00F10DF1"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AD760E"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AD760E" w:rsidRDefault="004F276F" w:rsidP="00C37D48">
            <w:pPr>
              <w:rPr>
                <w:rFonts w:ascii="Calibri" w:hAnsi="Calibri" w:cs="Calibri"/>
                <w:lang w:val="fr-FR"/>
              </w:rPr>
            </w:pPr>
            <w:r w:rsidRPr="00AD760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AD760E"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AD760E"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AD760E" w:rsidRDefault="003A2E5E" w:rsidP="00C37D48">
            <w:pPr>
              <w:rPr>
                <w:rFonts w:ascii="Calibri" w:hAnsi="Calibri" w:cs="Calibri"/>
                <w:lang w:val="fr-FR"/>
              </w:rPr>
            </w:pPr>
            <w:r w:rsidRPr="00AD760E">
              <w:rPr>
                <w:rFonts w:ascii="Calibri" w:hAnsi="Calibri" w:cs="Calibri"/>
                <w:lang w:val="fr-FR"/>
              </w:rPr>
              <w:t xml:space="preserve">Carbon </w:t>
            </w:r>
            <w:proofErr w:type="spellStart"/>
            <w:r w:rsidRPr="00AD760E">
              <w:rPr>
                <w:rFonts w:ascii="Calibri" w:hAnsi="Calibri" w:cs="Calibri"/>
                <w:lang w:val="fr-FR"/>
              </w:rPr>
              <w:t>dioxide</w:t>
            </w:r>
            <w:proofErr w:type="spellEnd"/>
            <w:r w:rsidRPr="00AD760E">
              <w:rPr>
                <w:rFonts w:ascii="Calibri" w:hAnsi="Calibri" w:cs="Calibri"/>
                <w:lang w:val="fr-FR"/>
              </w:rPr>
              <w:t xml:space="preserve"> </w:t>
            </w:r>
            <w:proofErr w:type="spellStart"/>
            <w:r w:rsidRPr="00AD760E">
              <w:rPr>
                <w:rFonts w:ascii="Calibri" w:hAnsi="Calibri" w:cs="Calibri"/>
                <w:lang w:val="fr-FR"/>
              </w:rPr>
              <w:t>equivalent</w:t>
            </w:r>
            <w:proofErr w:type="spellEnd"/>
            <w:r w:rsidRPr="00AD760E">
              <w:rPr>
                <w:rFonts w:ascii="Calibri" w:hAnsi="Calibri" w:cs="Calibri"/>
                <w:lang w:val="fr-FR"/>
              </w:rPr>
              <w:t xml:space="preserve"> (</w:t>
            </w:r>
            <w:proofErr w:type="spellStart"/>
            <w:r w:rsidRPr="00AD760E">
              <w:rPr>
                <w:rFonts w:ascii="Calibri" w:hAnsi="Calibri" w:cs="Calibri"/>
                <w:lang w:val="fr-FR"/>
              </w:rPr>
              <w:t>CO₂e</w:t>
            </w:r>
            <w:proofErr w:type="spellEnd"/>
            <w:r w:rsidRPr="00AD760E">
              <w:rPr>
                <w:rFonts w:ascii="Calibri" w:hAnsi="Calibri" w:cs="Calibri"/>
                <w:lang w:val="fr-FR"/>
              </w:rPr>
              <w:t>)  </w:t>
            </w:r>
          </w:p>
        </w:tc>
        <w:tc>
          <w:tcPr>
            <w:tcW w:w="5300" w:type="dxa"/>
            <w:gridSpan w:val="3"/>
            <w:shd w:val="clear" w:color="auto" w:fill="auto"/>
            <w:vAlign w:val="center"/>
          </w:tcPr>
          <w:p w14:paraId="4064936F" w14:textId="77777777" w:rsidR="003A2E5E" w:rsidRPr="00AD760E"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AD760E"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AD760E" w:rsidRDefault="00C66EE0" w:rsidP="00610F28">
            <w:pPr>
              <w:rPr>
                <w:rFonts w:ascii="Calibri" w:hAnsi="Calibri" w:cs="Calibri"/>
                <w:lang w:val="fr-FR"/>
              </w:rPr>
            </w:pPr>
            <w:r w:rsidRPr="00AD760E">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AD760E"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AD760E"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AD760E" w:rsidRDefault="00092534" w:rsidP="00CF2E7C">
            <w:pPr>
              <w:rPr>
                <w:rFonts w:ascii="Calibri" w:hAnsi="Calibri" w:cs="Calibri"/>
                <w:lang w:val="fr-FR"/>
              </w:rPr>
            </w:pPr>
            <w:r w:rsidRPr="00AD760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AD760E"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bookmarkStart w:id="40" w:name="_Hlk202886689"/>
      <w:r w:rsidRPr="009C4D10">
        <w:lastRenderedPageBreak/>
        <w:t>Domain 5: Prudential Tools</w:t>
      </w:r>
      <w:bookmarkEnd w:id="39"/>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F10DF1" w:rsidRPr="009C4D10" w14:paraId="05B597B7" w14:textId="77777777" w:rsidTr="00CF2E7C">
        <w:trPr>
          <w:trHeight w:val="24"/>
        </w:trPr>
        <w:tc>
          <w:tcPr>
            <w:tcW w:w="1065" w:type="dxa"/>
            <w:vAlign w:val="center"/>
          </w:tcPr>
          <w:p w14:paraId="46D0CB31" w14:textId="5182D073" w:rsidR="00F10DF1" w:rsidRPr="00CF2E7C" w:rsidRDefault="00F10DF1" w:rsidP="00F10DF1">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F10DF1" w:rsidRPr="00CF2E7C" w:rsidRDefault="00F10DF1" w:rsidP="00F10DF1">
            <w:pPr>
              <w:rPr>
                <w:rFonts w:ascii="Calibri" w:hAnsi="Calibri" w:cs="Calibri"/>
              </w:rPr>
            </w:pPr>
            <w:r w:rsidRPr="00CF2E7C">
              <w:rPr>
                <w:rFonts w:ascii="Calibri" w:hAnsi="Calibri" w:cs="Calibri"/>
              </w:rPr>
              <w:t>Publicly-traded entities</w:t>
            </w:r>
          </w:p>
        </w:tc>
        <w:tc>
          <w:tcPr>
            <w:tcW w:w="1456" w:type="dxa"/>
            <w:vAlign w:val="center"/>
          </w:tcPr>
          <w:p w14:paraId="24DD5D45" w14:textId="414039ED" w:rsidR="00F10DF1" w:rsidRPr="00CF2E7C" w:rsidRDefault="00F10DF1" w:rsidP="00F10DF1">
            <w:pPr>
              <w:rPr>
                <w:rFonts w:ascii="Calibri" w:hAnsi="Calibri" w:cs="Calibri"/>
              </w:rPr>
            </w:pPr>
          </w:p>
        </w:tc>
        <w:tc>
          <w:tcPr>
            <w:tcW w:w="1455" w:type="dxa"/>
            <w:gridSpan w:val="2"/>
            <w:vAlign w:val="center"/>
          </w:tcPr>
          <w:p w14:paraId="5B4FEC6B" w14:textId="77777777" w:rsidR="00F10DF1" w:rsidRPr="00CF2E7C" w:rsidRDefault="00F10DF1" w:rsidP="00F10DF1">
            <w:pPr>
              <w:rPr>
                <w:rFonts w:ascii="Calibri" w:hAnsi="Calibri" w:cs="Calibri"/>
              </w:rPr>
            </w:pPr>
          </w:p>
        </w:tc>
        <w:tc>
          <w:tcPr>
            <w:tcW w:w="1505" w:type="dxa"/>
            <w:vAlign w:val="center"/>
          </w:tcPr>
          <w:p w14:paraId="242DA23C" w14:textId="70ABF67B" w:rsidR="00F10DF1" w:rsidRPr="00CF2E7C" w:rsidRDefault="00F10DF1" w:rsidP="00F10DF1">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2E2E1A51"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4772D458" w:rsidR="00D4323A" w:rsidRPr="00CF2E7C" w:rsidRDefault="00023D5A"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5FA5410" w:rsidR="00D4323A" w:rsidRPr="00CF2E7C" w:rsidRDefault="00760CE4"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6EBD568B" w:rsidR="00D4323A" w:rsidRPr="00CF2E7C" w:rsidRDefault="00760CE4"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0AE0ECD" w:rsidR="00D4323A" w:rsidRPr="00CF2E7C" w:rsidRDefault="00760CE4"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607AB57F" w:rsidR="00D4323A" w:rsidRPr="00CF2E7C" w:rsidRDefault="00760CE4"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5E91C00C" w:rsidR="00D4323A" w:rsidRPr="00CF2E7C" w:rsidRDefault="00760CE4"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8817051" w:rsidR="00D4323A" w:rsidRPr="00CF2E7C" w:rsidRDefault="00760CE4"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38BE92BE" w:rsidR="00D4323A" w:rsidRPr="00CF2E7C" w:rsidRDefault="00760CE4"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2104929" w:rsidR="00D4323A" w:rsidRPr="00CF2E7C" w:rsidRDefault="00760CE4"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45D35DF8" w:rsidR="00D4323A" w:rsidRPr="00CF2E7C" w:rsidRDefault="00760CE4"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58C8D626" w:rsidR="00D4323A" w:rsidRPr="00CF2E7C" w:rsidRDefault="00760CE4"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4B769953" w:rsidR="00D4323A" w:rsidRPr="00CF2E7C" w:rsidRDefault="00760CE4"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760CE4">
        <w:trPr>
          <w:trHeight w:val="292"/>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611DC1B0"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lastRenderedPageBreak/>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4D9C671C"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2CBF99D2"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042C85C7" w:rsidR="00DD292A" w:rsidRPr="00CF2E7C" w:rsidRDefault="00EC6CFD" w:rsidP="00CF2E7C">
            <w:pPr>
              <w:rPr>
                <w:rFonts w:ascii="Calibri" w:hAnsi="Calibri" w:cs="Calibri"/>
              </w:rPr>
            </w:pPr>
            <w:r>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6329DF" w:rsidRPr="009C4D10" w14:paraId="4428246A" w14:textId="77777777" w:rsidTr="00CF2E7C">
        <w:trPr>
          <w:trHeight w:val="1020"/>
        </w:trPr>
        <w:tc>
          <w:tcPr>
            <w:tcW w:w="1065" w:type="dxa"/>
            <w:vAlign w:val="center"/>
          </w:tcPr>
          <w:p w14:paraId="72E3FE96" w14:textId="77777777" w:rsidR="006329DF" w:rsidRPr="00CF2E7C" w:rsidRDefault="006329DF" w:rsidP="006329DF">
            <w:pPr>
              <w:rPr>
                <w:rFonts w:ascii="Calibri" w:hAnsi="Calibri" w:cs="Calibri"/>
              </w:rPr>
            </w:pPr>
          </w:p>
        </w:tc>
        <w:tc>
          <w:tcPr>
            <w:tcW w:w="9375" w:type="dxa"/>
            <w:gridSpan w:val="7"/>
            <w:shd w:val="clear" w:color="auto" w:fill="auto"/>
            <w:vAlign w:val="center"/>
          </w:tcPr>
          <w:p w14:paraId="2FAABD2D" w14:textId="2C643B6B" w:rsidR="006329DF" w:rsidRPr="00CF2E7C" w:rsidRDefault="006329DF" w:rsidP="00F10DF1">
            <w:pPr>
              <w:jc w:val="both"/>
              <w:rPr>
                <w:rFonts w:ascii="Calibri" w:hAnsi="Calibri" w:cs="Calibri"/>
              </w:rPr>
            </w:pPr>
            <w:r>
              <w:rPr>
                <w:rFonts w:ascii="Calibri" w:hAnsi="Calibri" w:cs="Calibri"/>
              </w:rPr>
              <w:t xml:space="preserve">The </w:t>
            </w:r>
            <w:r w:rsidR="00F10DF1">
              <w:rPr>
                <w:rFonts w:ascii="Calibri" w:hAnsi="Calibri" w:cs="Calibri"/>
              </w:rPr>
              <w:t>Regulation</w:t>
            </w:r>
            <w:r>
              <w:rPr>
                <w:rFonts w:ascii="Calibri" w:hAnsi="Calibri" w:cs="Calibri"/>
              </w:rPr>
              <w:t xml:space="preserve"> </w:t>
            </w:r>
            <w:r w:rsidR="00F10DF1">
              <w:rPr>
                <w:rFonts w:ascii="Calibri" w:hAnsi="Calibri" w:cs="Calibri"/>
              </w:rPr>
              <w:t xml:space="preserve">applies </w:t>
            </w:r>
            <w:r w:rsidR="00F10DF1" w:rsidRPr="00F10DF1">
              <w:rPr>
                <w:rFonts w:ascii="Calibri" w:hAnsi="Calibri" w:cs="Calibri"/>
              </w:rPr>
              <w:t>to investment firms authorised and supervised under Directive 2014/65/EU and supervised for compliance with prudential requirements under Directive (EU) 2019/2034</w:t>
            </w:r>
            <w:r w:rsidR="00F10DF1">
              <w:rPr>
                <w:rFonts w:ascii="Calibri" w:hAnsi="Calibri" w:cs="Calibri"/>
              </w:rPr>
              <w:t xml:space="preserve">. </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1BF53B46" w:rsidR="00DD292A" w:rsidRPr="00CF2E7C" w:rsidRDefault="00DD292A" w:rsidP="00CF2E7C">
            <w:pPr>
              <w:rPr>
                <w:rFonts w:ascii="Calibri" w:hAnsi="Calibri" w:cs="Calibri"/>
              </w:rPr>
            </w:pPr>
          </w:p>
        </w:tc>
      </w:tr>
      <w:tr w:rsidR="00760CE4" w:rsidRPr="009C4D10" w14:paraId="3C446894" w14:textId="77777777" w:rsidTr="0046420B">
        <w:trPr>
          <w:trHeight w:val="22"/>
        </w:trPr>
        <w:tc>
          <w:tcPr>
            <w:tcW w:w="1065" w:type="dxa"/>
            <w:vAlign w:val="center"/>
          </w:tcPr>
          <w:p w14:paraId="0FBC1673" w14:textId="239277CB" w:rsidR="00760CE4" w:rsidRPr="00CF2E7C" w:rsidRDefault="00760CE4" w:rsidP="00760CE4">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760CE4" w:rsidRPr="00CF2E7C" w:rsidRDefault="00760CE4" w:rsidP="00760CE4">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760CE4" w:rsidRPr="00CF2E7C" w:rsidRDefault="00760CE4" w:rsidP="00760CE4">
            <w:pPr>
              <w:rPr>
                <w:rFonts w:ascii="Calibri" w:hAnsi="Calibri" w:cs="Calibri"/>
              </w:rPr>
            </w:pPr>
          </w:p>
        </w:tc>
        <w:tc>
          <w:tcPr>
            <w:tcW w:w="1455" w:type="dxa"/>
            <w:gridSpan w:val="2"/>
            <w:vAlign w:val="center"/>
          </w:tcPr>
          <w:p w14:paraId="7C064F97" w14:textId="77777777" w:rsidR="00760CE4" w:rsidRPr="00CF2E7C" w:rsidRDefault="00760CE4" w:rsidP="00760CE4">
            <w:pPr>
              <w:rPr>
                <w:rFonts w:ascii="Calibri" w:hAnsi="Calibri" w:cs="Calibri"/>
              </w:rPr>
            </w:pPr>
          </w:p>
        </w:tc>
        <w:tc>
          <w:tcPr>
            <w:tcW w:w="1505" w:type="dxa"/>
          </w:tcPr>
          <w:p w14:paraId="19285B54" w14:textId="29EFB69C" w:rsidR="00760CE4" w:rsidRPr="00CF2E7C" w:rsidRDefault="00760CE4" w:rsidP="00760CE4">
            <w:pPr>
              <w:rPr>
                <w:rFonts w:ascii="Calibri" w:hAnsi="Calibri" w:cs="Calibri"/>
              </w:rPr>
            </w:pPr>
          </w:p>
        </w:tc>
      </w:tr>
      <w:tr w:rsidR="00760CE4" w:rsidRPr="009C4D10" w14:paraId="3BA0392E" w14:textId="77777777" w:rsidTr="0046420B">
        <w:trPr>
          <w:trHeight w:val="22"/>
        </w:trPr>
        <w:tc>
          <w:tcPr>
            <w:tcW w:w="1065" w:type="dxa"/>
            <w:vAlign w:val="center"/>
          </w:tcPr>
          <w:p w14:paraId="276CBF0C" w14:textId="3E668692" w:rsidR="00760CE4" w:rsidRPr="00CF2E7C" w:rsidRDefault="00760CE4" w:rsidP="00760CE4">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760CE4" w:rsidRPr="00CF2E7C" w:rsidRDefault="00760CE4" w:rsidP="00760CE4">
            <w:pPr>
              <w:rPr>
                <w:rFonts w:ascii="Calibri" w:hAnsi="Calibri" w:cs="Calibri"/>
              </w:rPr>
            </w:pPr>
            <w:r w:rsidRPr="00CF2E7C">
              <w:rPr>
                <w:rFonts w:ascii="Calibri" w:hAnsi="Calibri" w:cs="Calibri"/>
              </w:rPr>
              <w:t>Manufacturing</w:t>
            </w:r>
          </w:p>
        </w:tc>
        <w:tc>
          <w:tcPr>
            <w:tcW w:w="1456" w:type="dxa"/>
            <w:vAlign w:val="center"/>
          </w:tcPr>
          <w:p w14:paraId="586492BC" w14:textId="77777777" w:rsidR="00760CE4" w:rsidRPr="00CF2E7C" w:rsidRDefault="00760CE4" w:rsidP="00760CE4">
            <w:pPr>
              <w:rPr>
                <w:rFonts w:ascii="Calibri" w:hAnsi="Calibri" w:cs="Calibri"/>
              </w:rPr>
            </w:pPr>
          </w:p>
        </w:tc>
        <w:tc>
          <w:tcPr>
            <w:tcW w:w="1455" w:type="dxa"/>
            <w:gridSpan w:val="2"/>
            <w:vAlign w:val="center"/>
          </w:tcPr>
          <w:p w14:paraId="255E24D1" w14:textId="77777777" w:rsidR="00760CE4" w:rsidRPr="00CF2E7C" w:rsidRDefault="00760CE4" w:rsidP="00760CE4">
            <w:pPr>
              <w:rPr>
                <w:rFonts w:ascii="Calibri" w:hAnsi="Calibri" w:cs="Calibri"/>
              </w:rPr>
            </w:pPr>
          </w:p>
        </w:tc>
        <w:tc>
          <w:tcPr>
            <w:tcW w:w="1505" w:type="dxa"/>
          </w:tcPr>
          <w:p w14:paraId="27B73CB2" w14:textId="6C3D51C4" w:rsidR="00760CE4" w:rsidRPr="00CF2E7C" w:rsidRDefault="00760CE4" w:rsidP="00760CE4">
            <w:pPr>
              <w:rPr>
                <w:rFonts w:ascii="Calibri" w:hAnsi="Calibri" w:cs="Calibri"/>
              </w:rPr>
            </w:pPr>
          </w:p>
        </w:tc>
      </w:tr>
      <w:tr w:rsidR="00760CE4" w:rsidRPr="009C4D10" w14:paraId="45B2E64A" w14:textId="77777777" w:rsidTr="0046420B">
        <w:trPr>
          <w:trHeight w:val="22"/>
        </w:trPr>
        <w:tc>
          <w:tcPr>
            <w:tcW w:w="1065" w:type="dxa"/>
            <w:vAlign w:val="center"/>
          </w:tcPr>
          <w:p w14:paraId="0CBE5C40" w14:textId="32B1633E" w:rsidR="00760CE4" w:rsidRPr="00CF2E7C" w:rsidRDefault="00760CE4" w:rsidP="00760CE4">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760CE4" w:rsidRPr="00CF2E7C" w:rsidRDefault="00760CE4" w:rsidP="00760CE4">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760CE4" w:rsidRPr="00CF2E7C" w:rsidRDefault="00760CE4" w:rsidP="00760CE4">
            <w:pPr>
              <w:rPr>
                <w:rFonts w:ascii="Calibri" w:hAnsi="Calibri" w:cs="Calibri"/>
              </w:rPr>
            </w:pPr>
          </w:p>
        </w:tc>
        <w:tc>
          <w:tcPr>
            <w:tcW w:w="1455" w:type="dxa"/>
            <w:gridSpan w:val="2"/>
            <w:vAlign w:val="center"/>
          </w:tcPr>
          <w:p w14:paraId="37AD3672" w14:textId="77777777" w:rsidR="00760CE4" w:rsidRPr="00CF2E7C" w:rsidRDefault="00760CE4" w:rsidP="00760CE4">
            <w:pPr>
              <w:rPr>
                <w:rFonts w:ascii="Calibri" w:hAnsi="Calibri" w:cs="Calibri"/>
              </w:rPr>
            </w:pPr>
          </w:p>
        </w:tc>
        <w:tc>
          <w:tcPr>
            <w:tcW w:w="1505" w:type="dxa"/>
          </w:tcPr>
          <w:p w14:paraId="0B0E7BE0" w14:textId="0776B6E8" w:rsidR="00760CE4" w:rsidRPr="00CF2E7C" w:rsidRDefault="00760CE4" w:rsidP="00760CE4">
            <w:pPr>
              <w:rPr>
                <w:rFonts w:ascii="Calibri" w:hAnsi="Calibri" w:cs="Calibri"/>
              </w:rPr>
            </w:pPr>
          </w:p>
        </w:tc>
      </w:tr>
      <w:tr w:rsidR="00760CE4" w:rsidRPr="009C4D10" w14:paraId="43041C94" w14:textId="77777777" w:rsidTr="0046420B">
        <w:trPr>
          <w:trHeight w:val="22"/>
        </w:trPr>
        <w:tc>
          <w:tcPr>
            <w:tcW w:w="1065" w:type="dxa"/>
            <w:vAlign w:val="center"/>
          </w:tcPr>
          <w:p w14:paraId="7B397B46" w14:textId="1F2D7FE1" w:rsidR="00760CE4" w:rsidRPr="00CF2E7C" w:rsidRDefault="00760CE4" w:rsidP="00760CE4">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760CE4" w:rsidRPr="00CF2E7C" w:rsidRDefault="00760CE4" w:rsidP="00760CE4">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760CE4" w:rsidRPr="00CF2E7C" w:rsidRDefault="00760CE4" w:rsidP="00760CE4">
            <w:pPr>
              <w:rPr>
                <w:rFonts w:ascii="Calibri" w:hAnsi="Calibri" w:cs="Calibri"/>
              </w:rPr>
            </w:pPr>
          </w:p>
        </w:tc>
        <w:tc>
          <w:tcPr>
            <w:tcW w:w="1455" w:type="dxa"/>
            <w:gridSpan w:val="2"/>
            <w:vAlign w:val="center"/>
          </w:tcPr>
          <w:p w14:paraId="3011D3E3" w14:textId="77777777" w:rsidR="00760CE4" w:rsidRPr="00CF2E7C" w:rsidRDefault="00760CE4" w:rsidP="00760CE4">
            <w:pPr>
              <w:rPr>
                <w:rFonts w:ascii="Calibri" w:hAnsi="Calibri" w:cs="Calibri"/>
              </w:rPr>
            </w:pPr>
          </w:p>
        </w:tc>
        <w:tc>
          <w:tcPr>
            <w:tcW w:w="1505" w:type="dxa"/>
          </w:tcPr>
          <w:p w14:paraId="36FA7FC3" w14:textId="70538891" w:rsidR="00760CE4" w:rsidRPr="00CF2E7C" w:rsidRDefault="00760CE4" w:rsidP="00760CE4">
            <w:pPr>
              <w:rPr>
                <w:rFonts w:ascii="Calibri" w:hAnsi="Calibri" w:cs="Calibri"/>
              </w:rPr>
            </w:pPr>
          </w:p>
        </w:tc>
      </w:tr>
      <w:tr w:rsidR="00760CE4" w:rsidRPr="009C4D10" w14:paraId="1E18327F" w14:textId="77777777" w:rsidTr="009258E5">
        <w:trPr>
          <w:trHeight w:val="22"/>
        </w:trPr>
        <w:tc>
          <w:tcPr>
            <w:tcW w:w="1065" w:type="dxa"/>
            <w:vAlign w:val="center"/>
          </w:tcPr>
          <w:p w14:paraId="0FC93136" w14:textId="655F81EE" w:rsidR="00760CE4" w:rsidRPr="00CF2E7C" w:rsidRDefault="00760CE4" w:rsidP="00760CE4">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760CE4" w:rsidRPr="00CF2E7C" w:rsidRDefault="00760CE4" w:rsidP="00760CE4">
            <w:pPr>
              <w:rPr>
                <w:rFonts w:ascii="Calibri" w:hAnsi="Calibri" w:cs="Calibri"/>
              </w:rPr>
            </w:pPr>
            <w:r w:rsidRPr="00CF2E7C">
              <w:rPr>
                <w:rFonts w:ascii="Calibri" w:hAnsi="Calibri" w:cs="Calibri"/>
              </w:rPr>
              <w:t>Construction</w:t>
            </w:r>
          </w:p>
        </w:tc>
        <w:tc>
          <w:tcPr>
            <w:tcW w:w="1456" w:type="dxa"/>
            <w:vAlign w:val="center"/>
          </w:tcPr>
          <w:p w14:paraId="04BF4413" w14:textId="77777777" w:rsidR="00760CE4" w:rsidRPr="00CF2E7C" w:rsidRDefault="00760CE4" w:rsidP="00760CE4">
            <w:pPr>
              <w:rPr>
                <w:rFonts w:ascii="Calibri" w:hAnsi="Calibri" w:cs="Calibri"/>
              </w:rPr>
            </w:pPr>
          </w:p>
        </w:tc>
        <w:tc>
          <w:tcPr>
            <w:tcW w:w="1455" w:type="dxa"/>
            <w:gridSpan w:val="2"/>
            <w:vAlign w:val="center"/>
          </w:tcPr>
          <w:p w14:paraId="38A34F24" w14:textId="77777777" w:rsidR="00760CE4" w:rsidRPr="00CF2E7C" w:rsidRDefault="00760CE4" w:rsidP="00760CE4">
            <w:pPr>
              <w:rPr>
                <w:rFonts w:ascii="Calibri" w:hAnsi="Calibri" w:cs="Calibri"/>
              </w:rPr>
            </w:pPr>
          </w:p>
        </w:tc>
        <w:tc>
          <w:tcPr>
            <w:tcW w:w="1505" w:type="dxa"/>
          </w:tcPr>
          <w:p w14:paraId="6C1FE16E" w14:textId="4FAB1BE9" w:rsidR="00760CE4" w:rsidRPr="00CF2E7C" w:rsidRDefault="00760CE4" w:rsidP="00760CE4">
            <w:pPr>
              <w:rPr>
                <w:rFonts w:ascii="Calibri" w:hAnsi="Calibri" w:cs="Calibri"/>
              </w:rPr>
            </w:pPr>
          </w:p>
        </w:tc>
      </w:tr>
      <w:tr w:rsidR="00760CE4" w:rsidRPr="009C4D10" w14:paraId="2A50DF4E" w14:textId="77777777" w:rsidTr="009258E5">
        <w:trPr>
          <w:trHeight w:val="300"/>
        </w:trPr>
        <w:tc>
          <w:tcPr>
            <w:tcW w:w="1065" w:type="dxa"/>
            <w:vAlign w:val="center"/>
          </w:tcPr>
          <w:p w14:paraId="2155FD97" w14:textId="2EE2EAAC" w:rsidR="00760CE4" w:rsidRPr="00CF2E7C" w:rsidRDefault="00760CE4" w:rsidP="00760CE4">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760CE4" w:rsidRPr="00CF2E7C" w:rsidRDefault="00760CE4" w:rsidP="00760CE4">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760CE4" w:rsidRPr="00CF2E7C" w:rsidRDefault="00760CE4" w:rsidP="00760CE4">
            <w:pPr>
              <w:rPr>
                <w:rFonts w:ascii="Calibri" w:hAnsi="Calibri" w:cs="Calibri"/>
              </w:rPr>
            </w:pPr>
          </w:p>
        </w:tc>
        <w:tc>
          <w:tcPr>
            <w:tcW w:w="1455" w:type="dxa"/>
            <w:gridSpan w:val="2"/>
            <w:vAlign w:val="center"/>
          </w:tcPr>
          <w:p w14:paraId="5408A0A0" w14:textId="77777777" w:rsidR="00760CE4" w:rsidRPr="00CF2E7C" w:rsidRDefault="00760CE4" w:rsidP="00760CE4">
            <w:pPr>
              <w:rPr>
                <w:rFonts w:ascii="Calibri" w:hAnsi="Calibri" w:cs="Calibri"/>
              </w:rPr>
            </w:pPr>
          </w:p>
        </w:tc>
        <w:tc>
          <w:tcPr>
            <w:tcW w:w="1505" w:type="dxa"/>
          </w:tcPr>
          <w:p w14:paraId="6A0704D2" w14:textId="725A8F96" w:rsidR="00760CE4" w:rsidRPr="00CF2E7C" w:rsidRDefault="00760CE4" w:rsidP="00760CE4">
            <w:pPr>
              <w:rPr>
                <w:rFonts w:ascii="Calibri" w:hAnsi="Calibri" w:cs="Calibri"/>
              </w:rPr>
            </w:pPr>
          </w:p>
        </w:tc>
      </w:tr>
      <w:tr w:rsidR="00760CE4" w:rsidRPr="009C4D10" w14:paraId="385EB592" w14:textId="77777777" w:rsidTr="009258E5">
        <w:trPr>
          <w:trHeight w:val="22"/>
        </w:trPr>
        <w:tc>
          <w:tcPr>
            <w:tcW w:w="1065" w:type="dxa"/>
            <w:vAlign w:val="center"/>
          </w:tcPr>
          <w:p w14:paraId="7B938634" w14:textId="4E896EA2" w:rsidR="00760CE4" w:rsidRPr="00CF2E7C" w:rsidRDefault="00760CE4" w:rsidP="00760CE4">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760CE4" w:rsidRPr="00CF2E7C" w:rsidRDefault="00760CE4" w:rsidP="00760CE4">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760CE4" w:rsidRPr="00CF2E7C" w:rsidRDefault="00760CE4" w:rsidP="00760CE4">
            <w:pPr>
              <w:rPr>
                <w:rFonts w:ascii="Calibri" w:hAnsi="Calibri" w:cs="Calibri"/>
              </w:rPr>
            </w:pPr>
          </w:p>
        </w:tc>
        <w:tc>
          <w:tcPr>
            <w:tcW w:w="1455" w:type="dxa"/>
            <w:gridSpan w:val="2"/>
            <w:vAlign w:val="center"/>
          </w:tcPr>
          <w:p w14:paraId="4BBAE27E" w14:textId="77777777" w:rsidR="00760CE4" w:rsidRPr="00CF2E7C" w:rsidRDefault="00760CE4" w:rsidP="00760CE4">
            <w:pPr>
              <w:rPr>
                <w:rFonts w:ascii="Calibri" w:hAnsi="Calibri" w:cs="Calibri"/>
              </w:rPr>
            </w:pPr>
          </w:p>
        </w:tc>
        <w:tc>
          <w:tcPr>
            <w:tcW w:w="1505" w:type="dxa"/>
          </w:tcPr>
          <w:p w14:paraId="5B8FD802" w14:textId="17435472" w:rsidR="00760CE4" w:rsidRPr="00CF2E7C" w:rsidRDefault="00760CE4" w:rsidP="00760CE4">
            <w:pPr>
              <w:rPr>
                <w:rFonts w:ascii="Calibri" w:hAnsi="Calibri" w:cs="Calibri"/>
              </w:rPr>
            </w:pPr>
          </w:p>
        </w:tc>
      </w:tr>
      <w:tr w:rsidR="00760CE4" w:rsidRPr="009C4D10" w14:paraId="151DC3D4" w14:textId="77777777" w:rsidTr="009258E5">
        <w:trPr>
          <w:trHeight w:val="300"/>
        </w:trPr>
        <w:tc>
          <w:tcPr>
            <w:tcW w:w="1065" w:type="dxa"/>
            <w:vAlign w:val="center"/>
          </w:tcPr>
          <w:p w14:paraId="24686AA6" w14:textId="73367BC2" w:rsidR="00760CE4" w:rsidRPr="00CF2E7C" w:rsidRDefault="00760CE4" w:rsidP="00760CE4">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760CE4" w:rsidRPr="00CF2E7C" w:rsidRDefault="00760CE4" w:rsidP="00760CE4">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760CE4" w:rsidRPr="00CF2E7C" w:rsidRDefault="00760CE4" w:rsidP="00760CE4">
            <w:pPr>
              <w:rPr>
                <w:rFonts w:ascii="Calibri" w:hAnsi="Calibri" w:cs="Calibri"/>
              </w:rPr>
            </w:pPr>
          </w:p>
        </w:tc>
        <w:tc>
          <w:tcPr>
            <w:tcW w:w="1455" w:type="dxa"/>
            <w:gridSpan w:val="2"/>
            <w:vAlign w:val="center"/>
          </w:tcPr>
          <w:p w14:paraId="5CE2605B" w14:textId="77777777" w:rsidR="00760CE4" w:rsidRPr="00CF2E7C" w:rsidRDefault="00760CE4" w:rsidP="00760CE4">
            <w:pPr>
              <w:rPr>
                <w:rFonts w:ascii="Calibri" w:hAnsi="Calibri" w:cs="Calibri"/>
              </w:rPr>
            </w:pPr>
          </w:p>
        </w:tc>
        <w:tc>
          <w:tcPr>
            <w:tcW w:w="1505" w:type="dxa"/>
          </w:tcPr>
          <w:p w14:paraId="73977984" w14:textId="0D0B6312" w:rsidR="00760CE4" w:rsidRPr="00CF2E7C" w:rsidRDefault="00760CE4" w:rsidP="00760CE4">
            <w:pPr>
              <w:rPr>
                <w:rFonts w:ascii="Calibri" w:hAnsi="Calibri" w:cs="Calibri"/>
              </w:rPr>
            </w:pPr>
          </w:p>
        </w:tc>
      </w:tr>
      <w:tr w:rsidR="00760CE4" w:rsidRPr="009C4D10" w14:paraId="5569CEE6" w14:textId="77777777" w:rsidTr="009258E5">
        <w:trPr>
          <w:trHeight w:val="22"/>
        </w:trPr>
        <w:tc>
          <w:tcPr>
            <w:tcW w:w="1065" w:type="dxa"/>
            <w:vAlign w:val="center"/>
          </w:tcPr>
          <w:p w14:paraId="31EE4DB2" w14:textId="20709EB4" w:rsidR="00760CE4" w:rsidRPr="00CF2E7C" w:rsidRDefault="00760CE4" w:rsidP="00760CE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760CE4" w:rsidRPr="00CF2E7C" w:rsidRDefault="00760CE4" w:rsidP="00760CE4">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760CE4" w:rsidRPr="00CF2E7C" w:rsidRDefault="00760CE4" w:rsidP="00760CE4">
            <w:pPr>
              <w:rPr>
                <w:rFonts w:ascii="Calibri" w:hAnsi="Calibri" w:cs="Calibri"/>
              </w:rPr>
            </w:pPr>
          </w:p>
        </w:tc>
        <w:tc>
          <w:tcPr>
            <w:tcW w:w="1455" w:type="dxa"/>
            <w:gridSpan w:val="2"/>
            <w:vAlign w:val="center"/>
          </w:tcPr>
          <w:p w14:paraId="1BA1B432" w14:textId="77777777" w:rsidR="00760CE4" w:rsidRPr="00CF2E7C" w:rsidRDefault="00760CE4" w:rsidP="00760CE4">
            <w:pPr>
              <w:rPr>
                <w:rFonts w:ascii="Calibri" w:hAnsi="Calibri" w:cs="Calibri"/>
              </w:rPr>
            </w:pPr>
          </w:p>
        </w:tc>
        <w:tc>
          <w:tcPr>
            <w:tcW w:w="1505" w:type="dxa"/>
          </w:tcPr>
          <w:p w14:paraId="258AB5B6" w14:textId="08E47239" w:rsidR="00760CE4" w:rsidRPr="00CF2E7C" w:rsidRDefault="00760CE4" w:rsidP="00760CE4">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3EFEAF8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760CE4" w:rsidRPr="009C4D10" w14:paraId="710A659C" w14:textId="77777777" w:rsidTr="0018095D">
        <w:trPr>
          <w:trHeight w:val="300"/>
        </w:trPr>
        <w:tc>
          <w:tcPr>
            <w:tcW w:w="1065" w:type="dxa"/>
            <w:vAlign w:val="center"/>
          </w:tcPr>
          <w:p w14:paraId="15C9720A" w14:textId="1FD286BB" w:rsidR="00760CE4" w:rsidRPr="00CF2E7C" w:rsidRDefault="00760CE4" w:rsidP="00760CE4">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760CE4" w:rsidRPr="00CF2E7C" w:rsidRDefault="00760CE4" w:rsidP="00760CE4">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760CE4" w:rsidRPr="00CF2E7C" w:rsidRDefault="00760CE4" w:rsidP="00760CE4">
            <w:pPr>
              <w:rPr>
                <w:rFonts w:ascii="Calibri" w:hAnsi="Calibri" w:cs="Calibri"/>
              </w:rPr>
            </w:pPr>
          </w:p>
        </w:tc>
        <w:tc>
          <w:tcPr>
            <w:tcW w:w="1455" w:type="dxa"/>
            <w:gridSpan w:val="2"/>
            <w:vAlign w:val="center"/>
          </w:tcPr>
          <w:p w14:paraId="32BA53EC" w14:textId="77777777" w:rsidR="00760CE4" w:rsidRPr="00CF2E7C" w:rsidRDefault="00760CE4" w:rsidP="00760CE4">
            <w:pPr>
              <w:rPr>
                <w:rFonts w:ascii="Calibri" w:hAnsi="Calibri" w:cs="Calibri"/>
              </w:rPr>
            </w:pPr>
          </w:p>
        </w:tc>
        <w:tc>
          <w:tcPr>
            <w:tcW w:w="1505" w:type="dxa"/>
          </w:tcPr>
          <w:p w14:paraId="3132483F" w14:textId="4BA09812" w:rsidR="00760CE4" w:rsidRPr="00CF2E7C" w:rsidRDefault="00760CE4" w:rsidP="00760CE4">
            <w:pPr>
              <w:rPr>
                <w:rFonts w:ascii="Calibri" w:hAnsi="Calibri" w:cs="Calibri"/>
              </w:rPr>
            </w:pPr>
          </w:p>
        </w:tc>
      </w:tr>
      <w:tr w:rsidR="00760CE4" w:rsidRPr="009C4D10" w14:paraId="6922D8BF" w14:textId="77777777" w:rsidTr="0018095D">
        <w:trPr>
          <w:trHeight w:val="300"/>
        </w:trPr>
        <w:tc>
          <w:tcPr>
            <w:tcW w:w="1065" w:type="dxa"/>
            <w:vAlign w:val="center"/>
          </w:tcPr>
          <w:p w14:paraId="36E911E0" w14:textId="6B06913E" w:rsidR="00760CE4" w:rsidRPr="00CF2E7C" w:rsidRDefault="00760CE4" w:rsidP="00760CE4">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760CE4" w:rsidRPr="00CF2E7C" w:rsidRDefault="00760CE4" w:rsidP="00760CE4">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760CE4" w:rsidRPr="00CF2E7C" w:rsidRDefault="00760CE4" w:rsidP="00760CE4">
            <w:pPr>
              <w:rPr>
                <w:rFonts w:ascii="Calibri" w:hAnsi="Calibri" w:cs="Calibri"/>
              </w:rPr>
            </w:pPr>
          </w:p>
        </w:tc>
        <w:tc>
          <w:tcPr>
            <w:tcW w:w="1455" w:type="dxa"/>
            <w:gridSpan w:val="2"/>
            <w:vAlign w:val="center"/>
          </w:tcPr>
          <w:p w14:paraId="2897FEDE" w14:textId="77777777" w:rsidR="00760CE4" w:rsidRPr="00CF2E7C" w:rsidRDefault="00760CE4" w:rsidP="00760CE4">
            <w:pPr>
              <w:rPr>
                <w:rFonts w:ascii="Calibri" w:hAnsi="Calibri" w:cs="Calibri"/>
              </w:rPr>
            </w:pPr>
          </w:p>
        </w:tc>
        <w:tc>
          <w:tcPr>
            <w:tcW w:w="1505" w:type="dxa"/>
          </w:tcPr>
          <w:p w14:paraId="6A1956C6" w14:textId="6AF6D60F" w:rsidR="00760CE4" w:rsidRPr="00CF2E7C" w:rsidRDefault="00760CE4" w:rsidP="00760CE4">
            <w:pPr>
              <w:rPr>
                <w:rFonts w:ascii="Calibri" w:hAnsi="Calibri" w:cs="Calibri"/>
              </w:rPr>
            </w:pPr>
          </w:p>
        </w:tc>
      </w:tr>
      <w:tr w:rsidR="00760CE4" w:rsidRPr="009C4D10" w14:paraId="029FB1F0" w14:textId="77777777" w:rsidTr="00EB1339">
        <w:trPr>
          <w:trHeight w:val="300"/>
        </w:trPr>
        <w:tc>
          <w:tcPr>
            <w:tcW w:w="1065" w:type="dxa"/>
            <w:vAlign w:val="center"/>
          </w:tcPr>
          <w:p w14:paraId="78E20A06" w14:textId="4C5F26C6" w:rsidR="00760CE4" w:rsidRPr="00CF2E7C" w:rsidRDefault="00760CE4" w:rsidP="00760CE4">
            <w:pPr>
              <w:rPr>
                <w:rFonts w:ascii="Calibri" w:hAnsi="Calibri" w:cs="Calibri"/>
              </w:rPr>
            </w:pPr>
            <w:r w:rsidRPr="00CF2E7C">
              <w:rPr>
                <w:rFonts w:ascii="Calibri" w:hAnsi="Calibri" w:cs="Calibri"/>
              </w:rPr>
              <w:lastRenderedPageBreak/>
              <w:t>5.3.14</w:t>
            </w:r>
          </w:p>
        </w:tc>
        <w:tc>
          <w:tcPr>
            <w:tcW w:w="4959" w:type="dxa"/>
            <w:gridSpan w:val="3"/>
            <w:shd w:val="clear" w:color="auto" w:fill="DEEAF6" w:themeFill="accent5" w:themeFillTint="33"/>
            <w:vAlign w:val="center"/>
          </w:tcPr>
          <w:p w14:paraId="12A784F0" w14:textId="77777777" w:rsidR="00760CE4" w:rsidRPr="00CF2E7C" w:rsidRDefault="00760CE4" w:rsidP="00760CE4">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760CE4" w:rsidRPr="00CF2E7C" w:rsidRDefault="00760CE4" w:rsidP="00760CE4">
            <w:pPr>
              <w:rPr>
                <w:rFonts w:ascii="Calibri" w:hAnsi="Calibri" w:cs="Calibri"/>
              </w:rPr>
            </w:pPr>
          </w:p>
        </w:tc>
        <w:tc>
          <w:tcPr>
            <w:tcW w:w="1455" w:type="dxa"/>
            <w:gridSpan w:val="2"/>
            <w:vAlign w:val="center"/>
          </w:tcPr>
          <w:p w14:paraId="0588D4B9" w14:textId="77777777" w:rsidR="00760CE4" w:rsidRPr="00CF2E7C" w:rsidRDefault="00760CE4" w:rsidP="00760CE4">
            <w:pPr>
              <w:rPr>
                <w:rFonts w:ascii="Calibri" w:hAnsi="Calibri" w:cs="Calibri"/>
              </w:rPr>
            </w:pPr>
          </w:p>
        </w:tc>
        <w:tc>
          <w:tcPr>
            <w:tcW w:w="1505" w:type="dxa"/>
          </w:tcPr>
          <w:p w14:paraId="6D557613" w14:textId="1A7EF064" w:rsidR="00760CE4" w:rsidRPr="00CF2E7C" w:rsidRDefault="00760CE4" w:rsidP="00760CE4">
            <w:pPr>
              <w:rPr>
                <w:rFonts w:ascii="Calibri" w:hAnsi="Calibri" w:cs="Calibri"/>
              </w:rPr>
            </w:pPr>
          </w:p>
        </w:tc>
      </w:tr>
      <w:tr w:rsidR="00760CE4" w:rsidRPr="009C4D10" w14:paraId="2FF1C34A" w14:textId="77777777" w:rsidTr="00EB1339">
        <w:trPr>
          <w:trHeight w:val="300"/>
        </w:trPr>
        <w:tc>
          <w:tcPr>
            <w:tcW w:w="1065" w:type="dxa"/>
            <w:vAlign w:val="center"/>
          </w:tcPr>
          <w:p w14:paraId="437A018E" w14:textId="578B1058" w:rsidR="00760CE4" w:rsidRPr="00CF2E7C" w:rsidRDefault="00760CE4" w:rsidP="00760CE4">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760CE4" w:rsidRPr="00CF2E7C" w:rsidRDefault="00760CE4" w:rsidP="00760CE4">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760CE4" w:rsidRPr="00CF2E7C" w:rsidRDefault="00760CE4" w:rsidP="00760CE4">
            <w:pPr>
              <w:rPr>
                <w:rFonts w:ascii="Calibri" w:hAnsi="Calibri" w:cs="Calibri"/>
              </w:rPr>
            </w:pPr>
          </w:p>
        </w:tc>
        <w:tc>
          <w:tcPr>
            <w:tcW w:w="1455" w:type="dxa"/>
            <w:gridSpan w:val="2"/>
            <w:vAlign w:val="center"/>
          </w:tcPr>
          <w:p w14:paraId="40F5B4FC" w14:textId="77777777" w:rsidR="00760CE4" w:rsidRPr="00CF2E7C" w:rsidRDefault="00760CE4" w:rsidP="00760CE4">
            <w:pPr>
              <w:rPr>
                <w:rFonts w:ascii="Calibri" w:hAnsi="Calibri" w:cs="Calibri"/>
              </w:rPr>
            </w:pPr>
          </w:p>
        </w:tc>
        <w:tc>
          <w:tcPr>
            <w:tcW w:w="1505" w:type="dxa"/>
          </w:tcPr>
          <w:p w14:paraId="2D2CEFA1" w14:textId="12D8F862" w:rsidR="00760CE4" w:rsidRPr="00CF2E7C" w:rsidRDefault="00760CE4" w:rsidP="00760CE4">
            <w:pPr>
              <w:rPr>
                <w:rFonts w:ascii="Calibri" w:hAnsi="Calibri" w:cs="Calibri"/>
              </w:rPr>
            </w:pPr>
          </w:p>
        </w:tc>
      </w:tr>
      <w:tr w:rsidR="00760CE4" w:rsidRPr="009C4D10" w14:paraId="010BC0C1" w14:textId="77777777" w:rsidTr="00EB1339">
        <w:trPr>
          <w:trHeight w:val="300"/>
        </w:trPr>
        <w:tc>
          <w:tcPr>
            <w:tcW w:w="1065" w:type="dxa"/>
            <w:vAlign w:val="center"/>
          </w:tcPr>
          <w:p w14:paraId="68DDB284" w14:textId="2824A9CE" w:rsidR="00760CE4" w:rsidRPr="00CF2E7C" w:rsidRDefault="00760CE4" w:rsidP="00760CE4">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760CE4" w:rsidRPr="00CF2E7C" w:rsidRDefault="00760CE4" w:rsidP="00760CE4">
            <w:pPr>
              <w:rPr>
                <w:rFonts w:ascii="Calibri" w:hAnsi="Calibri" w:cs="Calibri"/>
              </w:rPr>
            </w:pPr>
            <w:r w:rsidRPr="00CF2E7C">
              <w:rPr>
                <w:rFonts w:ascii="Calibri" w:hAnsi="Calibri" w:cs="Calibri"/>
              </w:rPr>
              <w:t>Education</w:t>
            </w:r>
          </w:p>
        </w:tc>
        <w:tc>
          <w:tcPr>
            <w:tcW w:w="1456" w:type="dxa"/>
            <w:vAlign w:val="center"/>
          </w:tcPr>
          <w:p w14:paraId="2099E313" w14:textId="77777777" w:rsidR="00760CE4" w:rsidRPr="00CF2E7C" w:rsidRDefault="00760CE4" w:rsidP="00760CE4">
            <w:pPr>
              <w:rPr>
                <w:rFonts w:ascii="Calibri" w:hAnsi="Calibri" w:cs="Calibri"/>
              </w:rPr>
            </w:pPr>
          </w:p>
        </w:tc>
        <w:tc>
          <w:tcPr>
            <w:tcW w:w="1455" w:type="dxa"/>
            <w:gridSpan w:val="2"/>
            <w:vAlign w:val="center"/>
          </w:tcPr>
          <w:p w14:paraId="4AA900D5" w14:textId="77777777" w:rsidR="00760CE4" w:rsidRPr="00CF2E7C" w:rsidRDefault="00760CE4" w:rsidP="00760CE4">
            <w:pPr>
              <w:rPr>
                <w:rFonts w:ascii="Calibri" w:hAnsi="Calibri" w:cs="Calibri"/>
              </w:rPr>
            </w:pPr>
          </w:p>
        </w:tc>
        <w:tc>
          <w:tcPr>
            <w:tcW w:w="1505" w:type="dxa"/>
          </w:tcPr>
          <w:p w14:paraId="5091B64E" w14:textId="28BD8917" w:rsidR="00760CE4" w:rsidRPr="00CF2E7C" w:rsidRDefault="00760CE4" w:rsidP="00760CE4">
            <w:pPr>
              <w:rPr>
                <w:rFonts w:ascii="Calibri" w:hAnsi="Calibri" w:cs="Calibri"/>
              </w:rPr>
            </w:pPr>
          </w:p>
        </w:tc>
      </w:tr>
      <w:tr w:rsidR="00760CE4" w:rsidRPr="009C4D10" w14:paraId="252E2667" w14:textId="77777777" w:rsidTr="00EB1339">
        <w:trPr>
          <w:trHeight w:val="300"/>
        </w:trPr>
        <w:tc>
          <w:tcPr>
            <w:tcW w:w="1065" w:type="dxa"/>
            <w:vAlign w:val="center"/>
          </w:tcPr>
          <w:p w14:paraId="3AEE6D9A" w14:textId="1FB337E4" w:rsidR="00760CE4" w:rsidRPr="00CF2E7C" w:rsidRDefault="00760CE4" w:rsidP="00760C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760CE4" w:rsidRPr="00CF2E7C" w:rsidRDefault="00760CE4" w:rsidP="00760CE4">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760CE4" w:rsidRPr="00CF2E7C" w:rsidRDefault="00760CE4" w:rsidP="00760CE4">
            <w:pPr>
              <w:rPr>
                <w:rFonts w:ascii="Calibri" w:hAnsi="Calibri" w:cs="Calibri"/>
              </w:rPr>
            </w:pPr>
          </w:p>
        </w:tc>
        <w:tc>
          <w:tcPr>
            <w:tcW w:w="1455" w:type="dxa"/>
            <w:gridSpan w:val="2"/>
            <w:vAlign w:val="center"/>
          </w:tcPr>
          <w:p w14:paraId="7F6E73AD" w14:textId="77777777" w:rsidR="00760CE4" w:rsidRPr="00CF2E7C" w:rsidRDefault="00760CE4" w:rsidP="00760CE4">
            <w:pPr>
              <w:rPr>
                <w:rFonts w:ascii="Calibri" w:hAnsi="Calibri" w:cs="Calibri"/>
              </w:rPr>
            </w:pPr>
          </w:p>
        </w:tc>
        <w:tc>
          <w:tcPr>
            <w:tcW w:w="1505" w:type="dxa"/>
          </w:tcPr>
          <w:p w14:paraId="4B58B540" w14:textId="0A4107C2" w:rsidR="00760CE4" w:rsidRPr="00CF2E7C" w:rsidRDefault="00760CE4" w:rsidP="00760CE4">
            <w:pPr>
              <w:rPr>
                <w:rFonts w:ascii="Calibri" w:hAnsi="Calibri" w:cs="Calibri"/>
              </w:rPr>
            </w:pPr>
          </w:p>
        </w:tc>
      </w:tr>
      <w:tr w:rsidR="00760CE4" w:rsidRPr="009C4D10" w14:paraId="32A2E037" w14:textId="77777777" w:rsidTr="00EB1339">
        <w:trPr>
          <w:trHeight w:val="300"/>
        </w:trPr>
        <w:tc>
          <w:tcPr>
            <w:tcW w:w="1065" w:type="dxa"/>
            <w:vAlign w:val="center"/>
          </w:tcPr>
          <w:p w14:paraId="76840233" w14:textId="2D55CC25" w:rsidR="00760CE4" w:rsidRPr="00CF2E7C" w:rsidRDefault="00760CE4" w:rsidP="00760CE4">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760CE4" w:rsidRPr="00CF2E7C" w:rsidRDefault="00760CE4" w:rsidP="00760CE4">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760CE4" w:rsidRPr="00CF2E7C" w:rsidRDefault="00760CE4" w:rsidP="00760CE4">
            <w:pPr>
              <w:rPr>
                <w:rFonts w:ascii="Calibri" w:hAnsi="Calibri" w:cs="Calibri"/>
              </w:rPr>
            </w:pPr>
          </w:p>
        </w:tc>
        <w:tc>
          <w:tcPr>
            <w:tcW w:w="1455" w:type="dxa"/>
            <w:gridSpan w:val="2"/>
            <w:vAlign w:val="center"/>
          </w:tcPr>
          <w:p w14:paraId="7D9216C7" w14:textId="77777777" w:rsidR="00760CE4" w:rsidRPr="00CF2E7C" w:rsidRDefault="00760CE4" w:rsidP="00760CE4">
            <w:pPr>
              <w:rPr>
                <w:rFonts w:ascii="Calibri" w:hAnsi="Calibri" w:cs="Calibri"/>
              </w:rPr>
            </w:pPr>
          </w:p>
        </w:tc>
        <w:tc>
          <w:tcPr>
            <w:tcW w:w="1505" w:type="dxa"/>
          </w:tcPr>
          <w:p w14:paraId="6880DCC8" w14:textId="7BD34D21" w:rsidR="00760CE4" w:rsidRPr="00CF2E7C" w:rsidRDefault="00760CE4" w:rsidP="00760CE4">
            <w:pPr>
              <w:rPr>
                <w:rFonts w:ascii="Calibri" w:hAnsi="Calibri" w:cs="Calibri"/>
              </w:rPr>
            </w:pPr>
          </w:p>
        </w:tc>
      </w:tr>
      <w:tr w:rsidR="00760CE4" w:rsidRPr="009C4D10" w14:paraId="5EF39827" w14:textId="77777777" w:rsidTr="00EB1339">
        <w:trPr>
          <w:trHeight w:val="300"/>
        </w:trPr>
        <w:tc>
          <w:tcPr>
            <w:tcW w:w="1065" w:type="dxa"/>
            <w:vAlign w:val="center"/>
          </w:tcPr>
          <w:p w14:paraId="2D80659D" w14:textId="4F89BB28" w:rsidR="00760CE4" w:rsidRPr="00CF2E7C" w:rsidRDefault="00760CE4" w:rsidP="00760CE4">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760CE4" w:rsidRPr="00CF2E7C" w:rsidRDefault="00760CE4" w:rsidP="00760CE4">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760CE4" w:rsidRPr="00CF2E7C" w:rsidRDefault="00760CE4" w:rsidP="00760CE4">
            <w:pPr>
              <w:rPr>
                <w:rFonts w:ascii="Calibri" w:hAnsi="Calibri" w:cs="Calibri"/>
              </w:rPr>
            </w:pPr>
          </w:p>
        </w:tc>
        <w:tc>
          <w:tcPr>
            <w:tcW w:w="1455" w:type="dxa"/>
            <w:gridSpan w:val="2"/>
            <w:vAlign w:val="center"/>
          </w:tcPr>
          <w:p w14:paraId="0FF1816F" w14:textId="77777777" w:rsidR="00760CE4" w:rsidRPr="00CF2E7C" w:rsidRDefault="00760CE4" w:rsidP="00760CE4">
            <w:pPr>
              <w:rPr>
                <w:rFonts w:ascii="Calibri" w:hAnsi="Calibri" w:cs="Calibri"/>
              </w:rPr>
            </w:pPr>
          </w:p>
        </w:tc>
        <w:tc>
          <w:tcPr>
            <w:tcW w:w="1505" w:type="dxa"/>
          </w:tcPr>
          <w:p w14:paraId="3EFF307A" w14:textId="7442D8E8" w:rsidR="00760CE4" w:rsidRPr="00CF2E7C" w:rsidRDefault="00760CE4" w:rsidP="00760CE4">
            <w:pPr>
              <w:rPr>
                <w:rFonts w:ascii="Calibri" w:hAnsi="Calibri" w:cs="Calibri"/>
              </w:rPr>
            </w:pPr>
          </w:p>
        </w:tc>
      </w:tr>
      <w:tr w:rsidR="00760CE4" w:rsidRPr="009C4D10" w14:paraId="6A26AA9B" w14:textId="77777777" w:rsidTr="00EB1339">
        <w:trPr>
          <w:trHeight w:val="300"/>
        </w:trPr>
        <w:tc>
          <w:tcPr>
            <w:tcW w:w="1065" w:type="dxa"/>
            <w:vAlign w:val="center"/>
          </w:tcPr>
          <w:p w14:paraId="4220F638" w14:textId="16AA9017" w:rsidR="00760CE4" w:rsidRPr="00CF2E7C" w:rsidRDefault="00760CE4" w:rsidP="00760CE4">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760CE4" w:rsidRPr="00CF2E7C" w:rsidRDefault="00760CE4" w:rsidP="00760CE4">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760CE4" w:rsidRPr="00CF2E7C" w:rsidRDefault="00760CE4" w:rsidP="00760CE4">
            <w:pPr>
              <w:rPr>
                <w:rFonts w:ascii="Calibri" w:hAnsi="Calibri" w:cs="Calibri"/>
              </w:rPr>
            </w:pPr>
          </w:p>
        </w:tc>
        <w:tc>
          <w:tcPr>
            <w:tcW w:w="1455" w:type="dxa"/>
            <w:gridSpan w:val="2"/>
            <w:vAlign w:val="center"/>
          </w:tcPr>
          <w:p w14:paraId="68E06EB0" w14:textId="77777777" w:rsidR="00760CE4" w:rsidRPr="00CF2E7C" w:rsidRDefault="00760CE4" w:rsidP="00760CE4">
            <w:pPr>
              <w:rPr>
                <w:rFonts w:ascii="Calibri" w:hAnsi="Calibri" w:cs="Calibri"/>
              </w:rPr>
            </w:pPr>
          </w:p>
        </w:tc>
        <w:tc>
          <w:tcPr>
            <w:tcW w:w="1505" w:type="dxa"/>
          </w:tcPr>
          <w:p w14:paraId="0503497B" w14:textId="4388281A" w:rsidR="00760CE4" w:rsidRPr="00CF2E7C" w:rsidRDefault="00760CE4" w:rsidP="00760CE4">
            <w:pPr>
              <w:rPr>
                <w:rFonts w:ascii="Calibri" w:hAnsi="Calibri" w:cs="Calibri"/>
              </w:rPr>
            </w:pPr>
          </w:p>
        </w:tc>
      </w:tr>
      <w:tr w:rsidR="00760CE4" w:rsidRPr="009C4D10" w14:paraId="1372325C" w14:textId="77777777" w:rsidTr="00EB1339">
        <w:trPr>
          <w:trHeight w:val="300"/>
        </w:trPr>
        <w:tc>
          <w:tcPr>
            <w:tcW w:w="1065" w:type="dxa"/>
            <w:vAlign w:val="center"/>
          </w:tcPr>
          <w:p w14:paraId="686BDB9E" w14:textId="5E815A29" w:rsidR="00760CE4" w:rsidRPr="00CF2E7C" w:rsidRDefault="00760CE4" w:rsidP="00760CE4">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760CE4" w:rsidRPr="00CF2E7C" w:rsidRDefault="00760CE4" w:rsidP="00760CE4">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760CE4" w:rsidRPr="00CF2E7C" w:rsidRDefault="00760CE4" w:rsidP="00760CE4">
            <w:pPr>
              <w:rPr>
                <w:rFonts w:ascii="Calibri" w:hAnsi="Calibri" w:cs="Calibri"/>
              </w:rPr>
            </w:pPr>
          </w:p>
        </w:tc>
        <w:tc>
          <w:tcPr>
            <w:tcW w:w="1455" w:type="dxa"/>
            <w:gridSpan w:val="2"/>
            <w:vAlign w:val="center"/>
          </w:tcPr>
          <w:p w14:paraId="59AAF925" w14:textId="77777777" w:rsidR="00760CE4" w:rsidRPr="00CF2E7C" w:rsidRDefault="00760CE4" w:rsidP="00760CE4">
            <w:pPr>
              <w:rPr>
                <w:rFonts w:ascii="Calibri" w:hAnsi="Calibri" w:cs="Calibri"/>
              </w:rPr>
            </w:pPr>
          </w:p>
        </w:tc>
        <w:tc>
          <w:tcPr>
            <w:tcW w:w="1505" w:type="dxa"/>
          </w:tcPr>
          <w:p w14:paraId="0F24D7A9" w14:textId="597755F8" w:rsidR="00760CE4" w:rsidRPr="00CF2E7C" w:rsidRDefault="00760CE4" w:rsidP="00760CE4">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5229F3D8"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6329DF">
        <w:trPr>
          <w:trHeight w:val="48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6329DF">
        <w:trPr>
          <w:trHeight w:val="412"/>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86D6E71" w14:textId="77777777" w:rsidR="00F10DF1" w:rsidRDefault="00F10DF1" w:rsidP="00F10DF1">
            <w:pPr>
              <w:tabs>
                <w:tab w:val="num" w:pos="1440"/>
              </w:tabs>
            </w:pPr>
            <w:r>
              <w:t>IFR applies to investment firms authorised and supervised under Directive 2014/65/EU and supervised for compliance with prudential requirements under Directive (EU) 2019/2034.</w:t>
            </w:r>
          </w:p>
          <w:p w14:paraId="1300BFDD" w14:textId="77777777" w:rsidR="00DD292A" w:rsidRDefault="00F10DF1" w:rsidP="00F10DF1">
            <w:r>
              <w:t>IFR sets out prudential requirements and supervisory arrangements for certain categories of investment firms, i.e., (i) those that are not subject to Regulation (EU) No 575/2013 (CRR)  and are sufficiently small and non-interconnected (class 3 investment firms), or (ii) those that do not fall under either of the two other categories (class 2 investment firms).</w:t>
            </w:r>
          </w:p>
          <w:p w14:paraId="04D56D89" w14:textId="77777777" w:rsidR="00C23CDB" w:rsidRDefault="003D7017" w:rsidP="00C23CDB">
            <w:pPr>
              <w:jc w:val="both"/>
            </w:pPr>
            <w:r>
              <w:t xml:space="preserve">Please note that, at this time, the only prudential tool relating to ESG is Article 34 of IFR, which only provides that the EBA will need to </w:t>
            </w:r>
            <w:r w:rsidR="00C23CDB">
              <w:t xml:space="preserve">assess </w:t>
            </w:r>
            <w:r w:rsidR="00C23CDB" w:rsidRPr="00C23CDB">
              <w:t>whether dedicated prudential treatment of assets exposed to activities associated substantially with environmental or social objectives, in the form of adjusted K‐factors or adjusted K‐factor coefficients, would be justified from a prudential perspective</w:t>
            </w:r>
            <w:r w:rsidR="00C23CDB">
              <w:t xml:space="preserve">. On the basis of the report on its findings, the European Commission shall submit a legislative proposal to the European Parliament and the Council. To date, no legislative proposals have been adopted on this point. </w:t>
            </w:r>
          </w:p>
          <w:p w14:paraId="052C8C35" w14:textId="7F6DADF9" w:rsidR="003D7017" w:rsidRPr="00CF2E7C" w:rsidRDefault="00C23CDB" w:rsidP="00C23CDB">
            <w:pPr>
              <w:jc w:val="both"/>
              <w:rPr>
                <w:rFonts w:ascii="Calibri" w:hAnsi="Calibri" w:cs="Calibri"/>
              </w:rPr>
            </w:pPr>
            <w:r>
              <w:t xml:space="preserve">As such, there is currently no dedicated prudential treatment of </w:t>
            </w:r>
            <w:r w:rsidRPr="00C23CDB">
              <w:t>assets exposed to activities associated substantially with environmental or social objectives</w:t>
            </w:r>
            <w:r>
              <w:t xml:space="preserve">.  </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AD760E"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AD760E" w:rsidRDefault="00DD292A" w:rsidP="00CF2E7C">
            <w:pPr>
              <w:rPr>
                <w:rFonts w:ascii="Calibri" w:hAnsi="Calibri" w:cs="Calibri"/>
                <w:lang w:val="fr-FR"/>
              </w:rPr>
            </w:pPr>
            <w:r w:rsidRPr="00AD760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AD760E"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40297E80" w:rsidR="00DD292A" w:rsidRPr="00CF2E7C" w:rsidRDefault="00DD292A" w:rsidP="002E7E63">
            <w:pPr>
              <w:jc w:val="both"/>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431746A5" w:rsidR="00DD292A" w:rsidRPr="004F053F" w:rsidRDefault="004F053F" w:rsidP="004F053F">
            <w:r>
              <w:t xml:space="preserve">Investment firms are subject to IFD/IFR, unless they (i) exercise the any of the activities </w:t>
            </w:r>
            <w:r w:rsidRPr="004F053F">
              <w:t>referred to in points (3) and (6) of Section A of Annex I to Directive 2014/65/EU</w:t>
            </w:r>
            <w:r>
              <w:t xml:space="preserve"> and (ii) the total value of their consolidated assets (on an individual or consolidated basis with other group entities also exercising similar activities) is equal to or exceeds EUR 15 billion, in which case they are subject to Regulation (EU) No 575/2013. </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38199C93"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1C47F8CD"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499894BC" w:rsidR="00DD292A" w:rsidRPr="00CF2E7C" w:rsidRDefault="00C23CDB"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3A16B2E" w14:textId="77777777" w:rsidR="004F053F" w:rsidRDefault="004F053F" w:rsidP="004F053F">
            <w:pPr>
              <w:jc w:val="both"/>
            </w:pPr>
            <w:r>
              <w:t xml:space="preserve">Please note that, at this time, the only prudential tool relating to ESG is Article 34 of IFR, which only provides that the EBA will need to assess </w:t>
            </w:r>
            <w:r w:rsidRPr="00C23CDB">
              <w:t>whether dedicated prudential treatment of assets exposed to activities associated substantially with environmental or social objectives, in the form of adjusted K‐factors or adjusted K‐factor coefficients, would be justified from a prudential perspective</w:t>
            </w:r>
            <w:r>
              <w:t xml:space="preserve">. On the basis of the report on its findings, the European Commission shall submit a legislative proposal to the European Parliament and the Council. To date, no legislative proposals have been adopted on this point. </w:t>
            </w:r>
          </w:p>
          <w:p w14:paraId="0591ADDB" w14:textId="229995C2" w:rsidR="00DD292A" w:rsidRPr="00F10DF1" w:rsidRDefault="004F053F" w:rsidP="004F053F">
            <w:pPr>
              <w:jc w:val="both"/>
              <w:rPr>
                <w:rFonts w:ascii="Calibri" w:hAnsi="Calibri" w:cs="Calibri"/>
              </w:rPr>
            </w:pPr>
            <w:r>
              <w:t xml:space="preserve">As such, there is currently no dedicated prudential treatment of </w:t>
            </w:r>
            <w:r w:rsidRPr="00C23CDB">
              <w:t>assets exposed to activities associated substantially with environmental or social objectives</w:t>
            </w:r>
            <w:r>
              <w:t xml:space="preserve">.  </w:t>
            </w: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lastRenderedPageBreak/>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1B079761"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0D472A60"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E3158F2"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462E4555"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826ACCF" w:rsidR="00DD3B33" w:rsidRPr="00CF2E7C" w:rsidRDefault="00C23CDB"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3AFD350F"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63692A48"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2E7E63"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5E5E3420" w14:textId="77777777" w:rsidR="00C23CDB" w:rsidRDefault="00C23CDB" w:rsidP="00C23CDB">
            <w:pPr>
              <w:jc w:val="both"/>
            </w:pPr>
            <w:r>
              <w:t xml:space="preserve">Please note that, at this time, the only prudential tool relating to ESG is Article 34 of IFR, which only provides that the EBA will need to assess </w:t>
            </w:r>
            <w:r w:rsidRPr="00C23CDB">
              <w:t>whether dedicated prudential treatment of assets exposed to activities associated substantially with environmental or social objectives, in the form of adjusted K‐factors or adjusted K‐factor coefficients, would be justified from a prudential perspective</w:t>
            </w:r>
            <w:r>
              <w:t xml:space="preserve">. On the basis of the report on its findings, the European Commission shall submit a legislative proposal to the European Parliament and the Council. To date, no legislative proposals have been adopted on this point. </w:t>
            </w:r>
          </w:p>
          <w:p w14:paraId="6BF4AF82" w14:textId="69BC20AD" w:rsidR="002E7E63" w:rsidRPr="002E7E63" w:rsidRDefault="00C23CDB" w:rsidP="00C23CDB">
            <w:pPr>
              <w:jc w:val="both"/>
              <w:rPr>
                <w:rFonts w:ascii="Calibri" w:hAnsi="Calibri" w:cs="Calibri"/>
              </w:rPr>
            </w:pPr>
            <w:r>
              <w:t xml:space="preserve">As such, there is currently no dedicated prudential treatment of </w:t>
            </w:r>
            <w:r w:rsidRPr="00C23CDB">
              <w:t>assets exposed to activities associated substantially with environmental or social objectives</w:t>
            </w:r>
            <w: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442600" w:rsidRDefault="007C77AA" w:rsidP="00CF2E7C">
            <w:pPr>
              <w:rPr>
                <w:rFonts w:ascii="Calibri" w:hAnsi="Calibri" w:cs="Calibri"/>
              </w:rPr>
            </w:pPr>
            <w:r w:rsidRPr="00442600">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442600" w:rsidRDefault="00DD292A" w:rsidP="00CF2E7C">
            <w:pPr>
              <w:rPr>
                <w:rFonts w:ascii="Calibri" w:hAnsi="Calibri" w:cs="Calibri"/>
              </w:rPr>
            </w:pPr>
            <w:r w:rsidRPr="00442600">
              <w:rPr>
                <w:rFonts w:ascii="Calibri" w:hAnsi="Calibri" w:cs="Calibri"/>
              </w:rPr>
              <w:t>No known evidence of implementation</w:t>
            </w:r>
          </w:p>
        </w:tc>
        <w:tc>
          <w:tcPr>
            <w:tcW w:w="4593" w:type="dxa"/>
            <w:gridSpan w:val="5"/>
            <w:shd w:val="clear" w:color="auto" w:fill="auto"/>
            <w:vAlign w:val="center"/>
          </w:tcPr>
          <w:p w14:paraId="21829B53" w14:textId="4272A844" w:rsidR="00DD292A" w:rsidRPr="00442600" w:rsidRDefault="006F0FCC"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8E811F2" w14:textId="77777777" w:rsidR="00C23CDB" w:rsidRDefault="00C23CDB" w:rsidP="00C23CDB">
            <w:pPr>
              <w:jc w:val="both"/>
            </w:pPr>
            <w:r>
              <w:t xml:space="preserve">Please note that, at this time, the only prudential tool relating to ESG is Article 34 of IFR, which only provides that the EBA will need to assess </w:t>
            </w:r>
            <w:r w:rsidRPr="00C23CDB">
              <w:t>whether dedicated prudential treatment of assets exposed to activities associated substantially with environmental or social objectives, in the form of adjusted K‐factors or adjusted K‐factor coefficients, would be justified from a prudential perspective</w:t>
            </w:r>
            <w:r>
              <w:t xml:space="preserve">. On the basis of the report on its findings, the European Commission shall submit </w:t>
            </w:r>
            <w:r>
              <w:lastRenderedPageBreak/>
              <w:t xml:space="preserve">a legislative proposal to the European Parliament and the Council. To date, no legislative proposals have been adopted on this point. </w:t>
            </w:r>
          </w:p>
          <w:p w14:paraId="496F7156" w14:textId="1A051F26" w:rsidR="00DD292A" w:rsidRPr="00CF2E7C" w:rsidRDefault="00C23CDB" w:rsidP="00C23CDB">
            <w:pPr>
              <w:rPr>
                <w:rFonts w:ascii="Calibri" w:hAnsi="Calibri" w:cs="Calibri"/>
              </w:rPr>
            </w:pPr>
            <w:r>
              <w:t xml:space="preserve">As such, there is currently no dedicated prudential treatment of </w:t>
            </w:r>
            <w:r w:rsidRPr="00C23CDB">
              <w:t>assets exposed to activities associated substantially with environmental or social objectives</w:t>
            </w:r>
            <w:r>
              <w:t xml:space="preserve">.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lastRenderedPageBreak/>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371B1CE7" w:rsidR="00DD292A" w:rsidRPr="00CF2E7C" w:rsidRDefault="006F0FCC"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3F593AB" w14:textId="77777777" w:rsidR="00C23CDB" w:rsidRDefault="00C23CDB" w:rsidP="00C23CDB">
            <w:pPr>
              <w:jc w:val="both"/>
            </w:pPr>
            <w:r>
              <w:t xml:space="preserve">Please note that, at this time, the only prudential tool relating to ESG is Article 34 of IFR, which only provides that the EBA will need to assess </w:t>
            </w:r>
            <w:r w:rsidRPr="00C23CDB">
              <w:t>whether dedicated prudential treatment of assets exposed to activities associated substantially with environmental or social objectives, in the form of adjusted K‐factors or adjusted K‐factor coefficients, would be justified from a prudential perspective</w:t>
            </w:r>
            <w:r>
              <w:t xml:space="preserve">. On the basis of the report on its findings, the European Commission shall submit a legislative proposal to the European Parliament and the Council. To date, no legislative proposals have been adopted on this point. </w:t>
            </w:r>
          </w:p>
          <w:p w14:paraId="7394013F" w14:textId="6F2EC9A8" w:rsidR="00DD292A" w:rsidRPr="00CF2E7C" w:rsidRDefault="00C23CDB" w:rsidP="00C23CDB">
            <w:pPr>
              <w:rPr>
                <w:rFonts w:ascii="Calibri" w:hAnsi="Calibri" w:cs="Calibri"/>
              </w:rPr>
            </w:pPr>
            <w:r>
              <w:t xml:space="preserve">As such, there is currently no dedicated prudential treatment of </w:t>
            </w:r>
            <w:r w:rsidRPr="00C23CDB">
              <w:t>assets exposed to activities associated substantially with environmental or social objectives</w:t>
            </w:r>
            <w:r>
              <w:t xml:space="preserve">.  </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223CA44" w:rsidR="00DD292A" w:rsidRPr="00CF2E7C" w:rsidRDefault="006F0FCC"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2D32AC9" w14:textId="77777777" w:rsidR="00C23CDB" w:rsidRDefault="00C23CDB" w:rsidP="00C23CDB">
            <w:pPr>
              <w:jc w:val="both"/>
            </w:pPr>
            <w:r>
              <w:t xml:space="preserve">Please note that, at this time, the only prudential tool relating to ESG is Article 34 of IFR, which only provides that the EBA will need to assess </w:t>
            </w:r>
            <w:r w:rsidRPr="00C23CDB">
              <w:t>whether dedicated prudential treatment of assets exposed to activities associated substantially with environmental or social objectives, in the form of adjusted K‐factors or adjusted K‐factor coefficients, would be justified from a prudential perspective</w:t>
            </w:r>
            <w:r>
              <w:t xml:space="preserve">. On the basis of the report on its findings, the European Commission shall submit a legislative proposal to the European Parliament and the Council. To date, no legislative proposals have been adopted on this point. </w:t>
            </w:r>
          </w:p>
          <w:p w14:paraId="3688BEED" w14:textId="1A1D35EA" w:rsidR="00DD292A" w:rsidRPr="00CF2E7C" w:rsidRDefault="00C23CDB" w:rsidP="00C23CDB">
            <w:pPr>
              <w:rPr>
                <w:rFonts w:ascii="Calibri" w:hAnsi="Calibri" w:cs="Calibri"/>
              </w:rPr>
            </w:pPr>
            <w:r>
              <w:lastRenderedPageBreak/>
              <w:t xml:space="preserve">As such, there is currently no dedicated prudential treatment of </w:t>
            </w:r>
            <w:r w:rsidRPr="00C23CDB">
              <w:t>assets exposed to activities associated substantially with environmental or social objectives</w:t>
            </w:r>
            <w:r>
              <w:t xml:space="preserve">.  </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A796E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27879C84" w:rsidR="00410853" w:rsidRPr="00CF2E7C" w:rsidRDefault="003D4C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EAEE13" w14:textId="77777777" w:rsidR="00C23CDB" w:rsidRDefault="00C23CDB" w:rsidP="00C23CDB">
            <w:pPr>
              <w:jc w:val="both"/>
            </w:pPr>
            <w:r>
              <w:t xml:space="preserve">Please note that, at this time, the only prudential tool relating to ESG is Article 34 of IFR, which only provides that the EBA will need to assess </w:t>
            </w:r>
            <w:r w:rsidRPr="00C23CDB">
              <w:t>whether dedicated prudential treatment of assets exposed to activities associated substantially with environmental or social objectives, in the form of adjusted K‐factors or adjusted K‐factor coefficients, would be justified from a prudential perspective</w:t>
            </w:r>
            <w:r>
              <w:t xml:space="preserve">. On the basis of the report on its findings, the European Commission shall submit a legislative proposal to the European Parliament and the Council. To date, no legislative proposals have been adopted on this point. </w:t>
            </w:r>
          </w:p>
          <w:p w14:paraId="127308B5" w14:textId="3CBC1E8D" w:rsidR="00410853" w:rsidRPr="00C23CDB" w:rsidRDefault="00C23CDB" w:rsidP="00C23CDB">
            <w:pPr>
              <w:jc w:val="both"/>
              <w:textAlignment w:val="baseline"/>
              <w:rPr>
                <w:rFonts w:ascii="Calibri" w:eastAsia="Times New Roman" w:hAnsi="Calibri" w:cs="Calibri"/>
                <w:kern w:val="0"/>
                <w:lang w:eastAsia="en-GB"/>
                <w14:ligatures w14:val="none"/>
              </w:rPr>
            </w:pPr>
            <w:r>
              <w:t xml:space="preserve">As such, there is currently no dedicated prudential treatment of </w:t>
            </w:r>
            <w:r w:rsidRPr="00C23CDB">
              <w:t>assets exposed to activities associated substantially with environmental or social objectives</w:t>
            </w:r>
            <w:r>
              <w:t xml:space="preserve">.  </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6C68D7C" w:rsidR="00F632FB" w:rsidRPr="00CF2E7C" w:rsidRDefault="00EC7D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6DB5132" w:rsidR="00F632FB" w:rsidRPr="00CF2E7C" w:rsidRDefault="00EC7D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5AFA240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43A0921B" w:rsidR="00F632FB" w:rsidRPr="00CF2E7C" w:rsidRDefault="00EC7D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bookmarkStart w:id="43" w:name="_Hlk202892950"/>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59B79300" w:rsidR="008C4722" w:rsidRPr="00CF2E7C" w:rsidRDefault="00EC7D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728F418C" w:rsidR="008C4722" w:rsidRPr="00CF2E7C" w:rsidRDefault="00EC7D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CD29895" w:rsidR="008C4722" w:rsidRPr="00CF2E7C" w:rsidRDefault="00EC7D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bookmarkEnd w:id="43"/>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BDB853" w14:textId="7BD90ABB" w:rsidR="00300CDF" w:rsidRPr="00300CDF" w:rsidRDefault="00300CDF" w:rsidP="00300CDF">
            <w:pPr>
              <w:spacing w:before="0" w:after="0"/>
              <w:jc w:val="both"/>
              <w:rPr>
                <w:b/>
                <w:bCs/>
              </w:rPr>
            </w:pPr>
            <w:r w:rsidRPr="00300CDF">
              <w:rPr>
                <w:rStyle w:val="Strong"/>
                <w:b w:val="0"/>
                <w:bCs w:val="0"/>
              </w:rPr>
              <w:t>Asset depreciation risks due to climate policy changes</w:t>
            </w:r>
          </w:p>
          <w:p w14:paraId="21F767FC" w14:textId="2A2E9FD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DA4D0A"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E7E747" w14:textId="77777777" w:rsidR="00DA4D0A" w:rsidRDefault="00DA4D0A" w:rsidP="00DA4D0A">
            <w:r>
              <w:t xml:space="preserve">Please note that, at this time, the only prudential tool relating to ESG is Article 34 of IFR, which only provides that the EBA will need to assess </w:t>
            </w:r>
            <w:r w:rsidRPr="00C23CDB">
              <w:t>whether dedicated prudential treatment of assets exposed to activities associated substantially with environmental or social objectives, in the form of adjusted K‐factors or adjusted K‐factor coefficients, would be justified from a prudential perspective</w:t>
            </w:r>
            <w:r>
              <w:t>. In particular, EBA shall assess the following:</w:t>
            </w:r>
          </w:p>
          <w:p w14:paraId="0275C910" w14:textId="4DA99D21" w:rsidR="00DA4D0A" w:rsidRDefault="00DA4D0A" w:rsidP="00DA4D0A">
            <w:pPr>
              <w:pStyle w:val="ListParagraph"/>
              <w:numPr>
                <w:ilvl w:val="0"/>
                <w:numId w:val="56"/>
              </w:numPr>
            </w:pPr>
            <w:r>
              <w:t>methodological options for assessing the exposures of asset classes to activities substantially associated with environmental or social objectives;</w:t>
            </w:r>
          </w:p>
          <w:p w14:paraId="1D41C138" w14:textId="7832B6DD" w:rsidR="00DA4D0A" w:rsidRDefault="00DA4D0A" w:rsidP="00DA4D0A">
            <w:pPr>
              <w:pStyle w:val="ListParagraph"/>
              <w:numPr>
                <w:ilvl w:val="0"/>
                <w:numId w:val="56"/>
              </w:numPr>
            </w:pPr>
            <w:r>
              <w:t>specific risk profiles of assets exposed to activities associated substantially with environmental or social objectives;</w:t>
            </w:r>
          </w:p>
          <w:p w14:paraId="5E5A15A1" w14:textId="5A147E07" w:rsidR="00DA4D0A" w:rsidRDefault="00DA4D0A" w:rsidP="00DA4D0A">
            <w:pPr>
              <w:pStyle w:val="ListParagraph"/>
              <w:numPr>
                <w:ilvl w:val="0"/>
                <w:numId w:val="56"/>
              </w:numPr>
            </w:pPr>
            <w:r>
              <w:t>risks related to the depreciation of assets due to regulatory changes such as climate change mitigation;</w:t>
            </w:r>
          </w:p>
          <w:p w14:paraId="575152E1" w14:textId="5C9C80E3" w:rsidR="00DA4D0A" w:rsidRDefault="00DA4D0A" w:rsidP="00DA4D0A">
            <w:pPr>
              <w:pStyle w:val="ListParagraph"/>
              <w:numPr>
                <w:ilvl w:val="0"/>
                <w:numId w:val="56"/>
              </w:numPr>
            </w:pPr>
            <w:r>
              <w:t>potential effects of dedicated prudential treatment of assets exposed to activities associated substantially with environmental or social objectives on financial stability.</w:t>
            </w:r>
          </w:p>
          <w:p w14:paraId="72CA2522" w14:textId="658FC3A4" w:rsidR="00DA4D0A" w:rsidRDefault="00DA4D0A" w:rsidP="00DA4D0A">
            <w:pPr>
              <w:jc w:val="both"/>
            </w:pPr>
            <w:r>
              <w:t xml:space="preserve">On the basis of the report on its findings, the European Commission shall submit a legislative proposal to the European Parliament and the Council. To date, no legislative proposals have been adopted on this point. </w:t>
            </w:r>
          </w:p>
          <w:p w14:paraId="39FC6AFA" w14:textId="4FFF88F4" w:rsidR="00DA4D0A" w:rsidRPr="00CF2E7C" w:rsidRDefault="00DA4D0A" w:rsidP="00DA4D0A">
            <w:pPr>
              <w:jc w:val="both"/>
              <w:textAlignment w:val="baseline"/>
              <w:rPr>
                <w:rFonts w:ascii="Calibri" w:eastAsia="Times New Roman" w:hAnsi="Calibri" w:cs="Calibri"/>
                <w:kern w:val="0"/>
                <w:lang w:eastAsia="en-GB"/>
                <w14:ligatures w14:val="none"/>
              </w:rPr>
            </w:pPr>
            <w:r>
              <w:t xml:space="preserve">As such, there is currently no dedicated prudential treatment of </w:t>
            </w:r>
            <w:r w:rsidRPr="00C23CDB">
              <w:t>assets exposed to activities associated substantially with environmental or social objectives</w:t>
            </w:r>
            <w:r>
              <w:t xml:space="preserve">.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2903D694" w:rsidR="008C4722" w:rsidRPr="00CF2E7C" w:rsidRDefault="003D4C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134BBC3E" w:rsidR="007B7DEE" w:rsidRPr="00CF2E7C" w:rsidRDefault="003D4C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DA4D0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FF0C9D4" w14:textId="7205E4FD"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DA4D0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A68D15A" w14:textId="672EB93D"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DA4D0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2FADFAD" w14:textId="068558C4"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44AB177E" w:rsidR="00ED7E12" w:rsidRPr="00CF2E7C" w:rsidRDefault="00DA4D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DA4D0A">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2FF8A1B" w14:textId="6B73E4D9"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447C8D77" w:rsidR="00702413" w:rsidRPr="00CF2E7C" w:rsidRDefault="00DA4D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DA4D0A" w:rsidRPr="009C4D10" w14:paraId="73E5866B" w14:textId="77777777" w:rsidTr="006672B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5718F7C1" w14:textId="60EFDE50" w:rsidR="00DA4D0A" w:rsidRPr="00CF2E7C" w:rsidRDefault="00DA4D0A" w:rsidP="00DA4D0A">
            <w:pPr>
              <w:textAlignment w:val="baseline"/>
              <w:rPr>
                <w:rFonts w:ascii="Calibri" w:eastAsia="Times New Roman" w:hAnsi="Calibri" w:cs="Calibri"/>
                <w:kern w:val="0"/>
                <w:lang w:eastAsia="en-GB"/>
                <w14:ligatures w14:val="none"/>
              </w:rPr>
            </w:pPr>
            <w:r w:rsidRPr="002724C8">
              <w:rPr>
                <w:rFonts w:ascii="Calibri" w:eastAsia="Times New Roman" w:hAnsi="Calibri" w:cs="Calibri"/>
                <w:kern w:val="0"/>
                <w:lang w:val="en-SG" w:eastAsia="en-GB"/>
                <w14:ligatures w14:val="none"/>
              </w:rPr>
              <w:t>X</w:t>
            </w:r>
          </w:p>
        </w:tc>
      </w:tr>
      <w:tr w:rsidR="00DA4D0A" w:rsidRPr="009C4D10" w14:paraId="045282B9" w14:textId="77777777" w:rsidTr="006672B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2C34F61" w:rsidR="00DA4D0A" w:rsidRPr="00CF2E7C" w:rsidRDefault="00DA4D0A" w:rsidP="00DA4D0A">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75D4EB44" w14:textId="5CDFF607" w:rsidR="00DA4D0A" w:rsidRPr="00CF2E7C" w:rsidRDefault="00DA4D0A" w:rsidP="00DA4D0A">
            <w:pPr>
              <w:textAlignment w:val="baseline"/>
              <w:rPr>
                <w:rFonts w:ascii="Calibri" w:eastAsia="Times New Roman" w:hAnsi="Calibri" w:cs="Calibri"/>
                <w:kern w:val="0"/>
                <w:lang w:eastAsia="en-GB"/>
                <w14:ligatures w14:val="none"/>
              </w:rPr>
            </w:pPr>
          </w:p>
        </w:tc>
      </w:tr>
      <w:tr w:rsidR="00DA4D0A" w:rsidRPr="009C4D10" w14:paraId="7A79BD9F" w14:textId="77777777" w:rsidTr="006672B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777C669E" w14:textId="63F2EFD6" w:rsidR="00DA4D0A" w:rsidRPr="00CF2E7C" w:rsidRDefault="00DA4D0A" w:rsidP="00DA4D0A">
            <w:pPr>
              <w:textAlignment w:val="baseline"/>
              <w:rPr>
                <w:rFonts w:ascii="Calibri" w:eastAsia="Times New Roman" w:hAnsi="Calibri" w:cs="Calibri"/>
                <w:kern w:val="0"/>
                <w:lang w:eastAsia="en-GB"/>
                <w14:ligatures w14:val="none"/>
              </w:rPr>
            </w:pPr>
            <w:r w:rsidRPr="002724C8">
              <w:rPr>
                <w:rFonts w:ascii="Calibri" w:eastAsia="Times New Roman" w:hAnsi="Calibri" w:cs="Calibri"/>
                <w:kern w:val="0"/>
                <w:lang w:val="en-SG" w:eastAsia="en-GB"/>
                <w14:ligatures w14:val="none"/>
              </w:rPr>
              <w:t>X</w:t>
            </w:r>
          </w:p>
        </w:tc>
      </w:tr>
      <w:tr w:rsidR="00DA4D0A" w:rsidRPr="009C4D10" w14:paraId="3AF695D3" w14:textId="77777777" w:rsidTr="006672B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68951940" w14:textId="4B47C323" w:rsidR="00DA4D0A" w:rsidRPr="00CF2E7C" w:rsidRDefault="00DA4D0A" w:rsidP="00DA4D0A">
            <w:pPr>
              <w:textAlignment w:val="baseline"/>
              <w:rPr>
                <w:rFonts w:ascii="Calibri" w:eastAsia="Times New Roman" w:hAnsi="Calibri" w:cs="Calibri"/>
                <w:kern w:val="0"/>
                <w:lang w:eastAsia="en-GB"/>
                <w14:ligatures w14:val="none"/>
              </w:rPr>
            </w:pPr>
            <w:r w:rsidRPr="002724C8">
              <w:rPr>
                <w:rFonts w:ascii="Calibri" w:eastAsia="Times New Roman" w:hAnsi="Calibri" w:cs="Calibri"/>
                <w:kern w:val="0"/>
                <w:lang w:val="en-SG" w:eastAsia="en-GB"/>
                <w14:ligatures w14:val="none"/>
              </w:rPr>
              <w:t>X</w:t>
            </w:r>
          </w:p>
        </w:tc>
      </w:tr>
      <w:tr w:rsidR="00DA4D0A" w:rsidRPr="009C4D10" w14:paraId="2FD170EE" w14:textId="77777777" w:rsidTr="006672B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5C93DEA6" w14:textId="326339F8" w:rsidR="00DA4D0A" w:rsidRPr="00CF2E7C" w:rsidRDefault="00DA4D0A" w:rsidP="00DA4D0A">
            <w:pPr>
              <w:textAlignment w:val="baseline"/>
              <w:rPr>
                <w:rFonts w:ascii="Calibri" w:eastAsia="Times New Roman" w:hAnsi="Calibri" w:cs="Calibri"/>
                <w:kern w:val="0"/>
                <w:lang w:eastAsia="en-GB"/>
                <w14:ligatures w14:val="none"/>
              </w:rPr>
            </w:pPr>
            <w:r w:rsidRPr="002724C8">
              <w:rPr>
                <w:rFonts w:ascii="Calibri" w:eastAsia="Times New Roman" w:hAnsi="Calibri" w:cs="Calibri"/>
                <w:kern w:val="0"/>
                <w:lang w:val="en-SG" w:eastAsia="en-GB"/>
                <w14:ligatures w14:val="none"/>
              </w:rPr>
              <w:t>X</w:t>
            </w:r>
          </w:p>
        </w:tc>
      </w:tr>
      <w:tr w:rsidR="00DA4D0A" w:rsidRPr="009C4D10" w14:paraId="16C49E76" w14:textId="77777777" w:rsidTr="006672B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7C6DAE4C" w14:textId="3D32A3E1" w:rsidR="00DA4D0A" w:rsidRPr="00CF2E7C" w:rsidRDefault="00DA4D0A" w:rsidP="00DA4D0A">
            <w:pPr>
              <w:textAlignment w:val="baseline"/>
              <w:rPr>
                <w:rFonts w:ascii="Calibri" w:eastAsia="Times New Roman" w:hAnsi="Calibri" w:cs="Calibri"/>
                <w:kern w:val="0"/>
                <w:lang w:eastAsia="en-GB"/>
                <w14:ligatures w14:val="none"/>
              </w:rPr>
            </w:pPr>
            <w:r w:rsidRPr="002724C8">
              <w:rPr>
                <w:rFonts w:ascii="Calibri" w:eastAsia="Times New Roman" w:hAnsi="Calibri" w:cs="Calibri"/>
                <w:kern w:val="0"/>
                <w:lang w:val="en-S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16EE5C83" w:rsidR="00C82860" w:rsidRPr="00CF2E7C" w:rsidRDefault="00DA4D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15FCBA1" w:rsidR="00C82860" w:rsidRPr="00CF2E7C" w:rsidRDefault="00DA4D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090402CF" w:rsidR="00C82860" w:rsidRPr="00CF2E7C" w:rsidRDefault="00DA4D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7F65639A" w:rsidR="00C82860" w:rsidRPr="00CF2E7C" w:rsidRDefault="00DA4D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DA4D0A" w:rsidRPr="009C4D10" w14:paraId="26AD2862" w14:textId="77777777" w:rsidTr="00C12E3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hideMark/>
          </w:tcPr>
          <w:p w14:paraId="059E5846" w14:textId="2B55B58B" w:rsidR="00DA4D0A" w:rsidRPr="00CF2E7C" w:rsidRDefault="00DA4D0A" w:rsidP="00DA4D0A">
            <w:pPr>
              <w:textAlignment w:val="baseline"/>
              <w:rPr>
                <w:rFonts w:ascii="Calibri" w:eastAsia="Times New Roman" w:hAnsi="Calibri" w:cs="Calibri"/>
                <w:kern w:val="0"/>
                <w:lang w:eastAsia="en-GB"/>
                <w14:ligatures w14:val="none"/>
              </w:rPr>
            </w:pPr>
            <w:r w:rsidRPr="00795A79">
              <w:rPr>
                <w:rFonts w:ascii="Calibri" w:eastAsia="Times New Roman" w:hAnsi="Calibri" w:cs="Calibri"/>
                <w:kern w:val="0"/>
                <w:lang w:val="en-SG" w:eastAsia="en-GB"/>
                <w14:ligatures w14:val="none"/>
              </w:rPr>
              <w:t>X</w:t>
            </w:r>
          </w:p>
        </w:tc>
      </w:tr>
      <w:tr w:rsidR="00DA4D0A" w:rsidRPr="009C4D10" w14:paraId="66EF45D2" w14:textId="77777777" w:rsidTr="00C12E3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DA4D0A" w:rsidRPr="00CF2E7C" w:rsidRDefault="00DA4D0A" w:rsidP="00DA4D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hideMark/>
          </w:tcPr>
          <w:p w14:paraId="10995F72" w14:textId="4C024E3A" w:rsidR="00DA4D0A" w:rsidRPr="00CF2E7C" w:rsidRDefault="00DA4D0A" w:rsidP="00DA4D0A">
            <w:pPr>
              <w:textAlignment w:val="baseline"/>
              <w:rPr>
                <w:rFonts w:ascii="Calibri" w:eastAsia="Times New Roman" w:hAnsi="Calibri" w:cs="Calibri"/>
                <w:kern w:val="0"/>
                <w:lang w:eastAsia="en-GB"/>
                <w14:ligatures w14:val="none"/>
              </w:rPr>
            </w:pPr>
            <w:r w:rsidRPr="00795A79">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36600DC7" w:rsidR="00C82860" w:rsidRPr="00CF2E7C" w:rsidRDefault="00DA4D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A4D0A"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DA4D0A" w:rsidRPr="00CF2E7C" w:rsidRDefault="00DA4D0A" w:rsidP="00DA4D0A">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1F4D31F" w14:textId="77777777" w:rsidR="00DA4D0A" w:rsidRDefault="00DA4D0A" w:rsidP="00DA4D0A">
            <w:r>
              <w:t xml:space="preserve">Please note that, at this time, the only prudential tool relating to ESG is Article 34 of IFR, which only provides that the EBA will need to assess </w:t>
            </w:r>
            <w:r w:rsidRPr="00C23CDB">
              <w:t>whether dedicated prudential treatment of assets exposed to activities associated substantially with environmental or social objectives, in the form of adjusted K‐factors or adjusted K‐factor coefficients, would be justified from a prudential perspective</w:t>
            </w:r>
            <w:r>
              <w:t>. In particular, EBA shall assess the following:</w:t>
            </w:r>
          </w:p>
          <w:p w14:paraId="585448DE" w14:textId="77777777" w:rsidR="00DA4D0A" w:rsidRDefault="00DA4D0A" w:rsidP="00DA4D0A">
            <w:pPr>
              <w:pStyle w:val="ListParagraph"/>
              <w:numPr>
                <w:ilvl w:val="0"/>
                <w:numId w:val="56"/>
              </w:numPr>
            </w:pPr>
            <w:r>
              <w:t>methodological options for assessing the exposures of asset classes to activities substantially associated with environmental or social objectives;</w:t>
            </w:r>
          </w:p>
          <w:p w14:paraId="347C4930" w14:textId="77777777" w:rsidR="00DA4D0A" w:rsidRDefault="00DA4D0A" w:rsidP="00DA4D0A">
            <w:pPr>
              <w:pStyle w:val="ListParagraph"/>
              <w:numPr>
                <w:ilvl w:val="0"/>
                <w:numId w:val="56"/>
              </w:numPr>
            </w:pPr>
            <w:r>
              <w:t>specific risk profiles of assets exposed to activities associated substantially with environmental or social objectives;</w:t>
            </w:r>
          </w:p>
          <w:p w14:paraId="1F10766E" w14:textId="77777777" w:rsidR="00DA4D0A" w:rsidRDefault="00DA4D0A" w:rsidP="00DA4D0A">
            <w:pPr>
              <w:pStyle w:val="ListParagraph"/>
              <w:numPr>
                <w:ilvl w:val="0"/>
                <w:numId w:val="56"/>
              </w:numPr>
            </w:pPr>
            <w:r>
              <w:t>risks related to the depreciation of assets due to regulatory changes such as climate change mitigation;</w:t>
            </w:r>
          </w:p>
          <w:p w14:paraId="559C1215" w14:textId="77777777" w:rsidR="00DA4D0A" w:rsidRDefault="00DA4D0A" w:rsidP="00DA4D0A">
            <w:pPr>
              <w:pStyle w:val="ListParagraph"/>
              <w:numPr>
                <w:ilvl w:val="0"/>
                <w:numId w:val="56"/>
              </w:numPr>
            </w:pPr>
            <w:r>
              <w:t>potential effects of dedicated prudential treatment of assets exposed to activities associated substantially with environmental or social objectives on financial stability.</w:t>
            </w:r>
          </w:p>
          <w:p w14:paraId="5F6E8B57" w14:textId="77777777" w:rsidR="00DA4D0A" w:rsidRDefault="00DA4D0A" w:rsidP="00DA4D0A">
            <w:pPr>
              <w:jc w:val="both"/>
            </w:pPr>
            <w:r>
              <w:lastRenderedPageBreak/>
              <w:t xml:space="preserve">On the basis of the report on its findings, the European Commission shall submit a legislative proposal to the European Parliament and the Council. To date, no legislative proposals have been adopted on this point. </w:t>
            </w:r>
          </w:p>
          <w:p w14:paraId="593BA361" w14:textId="2EE46F09" w:rsidR="00DA4D0A" w:rsidRPr="00CF2E7C" w:rsidRDefault="00DA4D0A" w:rsidP="00DA4D0A">
            <w:pPr>
              <w:textAlignment w:val="baseline"/>
              <w:rPr>
                <w:rFonts w:ascii="Calibri" w:eastAsia="Times New Roman" w:hAnsi="Calibri" w:cs="Calibri"/>
                <w:kern w:val="0"/>
                <w:lang w:eastAsia="en-GB"/>
                <w14:ligatures w14:val="none"/>
              </w:rPr>
            </w:pPr>
            <w:r>
              <w:t xml:space="preserve">As such, there is currently no dedicated prudential treatment of </w:t>
            </w:r>
            <w:r w:rsidRPr="00C23CDB">
              <w:t>assets exposed to activities associated substantially with environmental or social objectives</w:t>
            </w:r>
            <w:r>
              <w:t xml:space="preserve">.  </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7" w:name="_Section_5.2:_Scenario"/>
      <w:bookmarkStart w:id="48" w:name="_Toc198223635"/>
      <w:bookmarkEnd w:id="47"/>
      <w:r>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7DE213C" w:rsidR="00655FF7" w:rsidRPr="00CF2E7C" w:rsidRDefault="00DA4D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5998DC2C"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445A759D"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43641F54"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0" w:name="_Section_5.3:_Capital"/>
      <w:bookmarkStart w:id="51" w:name="_Toc198223636"/>
      <w:bookmarkEnd w:id="50"/>
      <w:r>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403AE304" w:rsidR="00F26296" w:rsidRPr="00CF2E7C" w:rsidRDefault="00DA4D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A4D0A"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DA4D0A" w:rsidRPr="00CF2E7C" w:rsidRDefault="00DA4D0A" w:rsidP="00DA4D0A">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2B83394" w14:textId="77777777" w:rsidR="00DA4D0A" w:rsidRDefault="00DA4D0A" w:rsidP="00DA4D0A">
            <w:r>
              <w:t xml:space="preserve">Please note that, at this time, the only prudential tool relating to ESG is Article 34 of IFR, which only provides that the EBA will need to assess </w:t>
            </w:r>
            <w:r w:rsidRPr="00C23CDB">
              <w:t>whether dedicated prudential treatment of assets exposed to activities associated substantially with environmental or social objectives, in the form of adjusted K‐factors or adjusted K‐factor coefficients, would be justified from a prudential perspective</w:t>
            </w:r>
            <w:r>
              <w:t>. In particular, EBA shall assess the following:</w:t>
            </w:r>
          </w:p>
          <w:p w14:paraId="3F9F5F7A" w14:textId="77777777" w:rsidR="00DA4D0A" w:rsidRDefault="00DA4D0A" w:rsidP="00DA4D0A">
            <w:pPr>
              <w:pStyle w:val="ListParagraph"/>
              <w:numPr>
                <w:ilvl w:val="0"/>
                <w:numId w:val="56"/>
              </w:numPr>
            </w:pPr>
            <w:r>
              <w:t>methodological options for assessing the exposures of asset classes to activities substantially associated with environmental or social objectives;</w:t>
            </w:r>
          </w:p>
          <w:p w14:paraId="601E9353" w14:textId="77777777" w:rsidR="00DA4D0A" w:rsidRDefault="00DA4D0A" w:rsidP="00DA4D0A">
            <w:pPr>
              <w:pStyle w:val="ListParagraph"/>
              <w:numPr>
                <w:ilvl w:val="0"/>
                <w:numId w:val="56"/>
              </w:numPr>
            </w:pPr>
            <w:r>
              <w:t>specific risk profiles of assets exposed to activities associated substantially with environmental or social objectives;</w:t>
            </w:r>
          </w:p>
          <w:p w14:paraId="1006C659" w14:textId="77777777" w:rsidR="00DA4D0A" w:rsidRDefault="00DA4D0A" w:rsidP="00DA4D0A">
            <w:pPr>
              <w:pStyle w:val="ListParagraph"/>
              <w:numPr>
                <w:ilvl w:val="0"/>
                <w:numId w:val="56"/>
              </w:numPr>
            </w:pPr>
            <w:r>
              <w:t>risks related to the depreciation of assets due to regulatory changes such as climate change mitigation;</w:t>
            </w:r>
          </w:p>
          <w:p w14:paraId="6EF40D16" w14:textId="77777777" w:rsidR="00DA4D0A" w:rsidRDefault="00DA4D0A" w:rsidP="00DA4D0A">
            <w:pPr>
              <w:pStyle w:val="ListParagraph"/>
              <w:numPr>
                <w:ilvl w:val="0"/>
                <w:numId w:val="56"/>
              </w:numPr>
            </w:pPr>
            <w:r>
              <w:t>potential effects of dedicated prudential treatment of assets exposed to activities associated substantially with environmental or social objectives on financial stability.</w:t>
            </w:r>
          </w:p>
          <w:p w14:paraId="23A6ED25" w14:textId="77777777" w:rsidR="00DA4D0A" w:rsidRDefault="00DA4D0A" w:rsidP="00DA4D0A">
            <w:pPr>
              <w:jc w:val="both"/>
            </w:pPr>
            <w:r>
              <w:t xml:space="preserve">On the basis of the report on its findings, the European Commission shall submit a legislative proposal to the European Parliament and the Council. To date, no legislative proposals have been adopted on this point. </w:t>
            </w:r>
          </w:p>
          <w:p w14:paraId="1FDFE93C" w14:textId="55E46A80" w:rsidR="00DA4D0A" w:rsidRPr="00CF2E7C" w:rsidRDefault="00DA4D0A" w:rsidP="00DA4D0A">
            <w:pPr>
              <w:textAlignment w:val="baseline"/>
              <w:rPr>
                <w:rFonts w:ascii="Calibri" w:eastAsia="Times New Roman" w:hAnsi="Calibri" w:cs="Calibri"/>
                <w:kern w:val="0"/>
                <w:lang w:eastAsia="en-GB"/>
                <w14:ligatures w14:val="none"/>
              </w:rPr>
            </w:pPr>
            <w:r>
              <w:t xml:space="preserve">As such, there is currently no dedicated prudential treatment of </w:t>
            </w:r>
            <w:r w:rsidRPr="00C23CDB">
              <w:t>assets exposed to activities associated substantially with environmental or social objectives</w:t>
            </w:r>
            <w:r>
              <w:t xml:space="preserve">.  </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0134ADF3" w:rsidR="00F26296" w:rsidRPr="00CF2E7C" w:rsidRDefault="004D4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2F3ED477" w:rsidR="00F26296" w:rsidRPr="00CF2E7C" w:rsidRDefault="004D4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500370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1F14BACB" w:rsidR="00B114FD" w:rsidRPr="00CF2E7C" w:rsidRDefault="00DA4D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407BC95B" w:rsidR="00B114FD" w:rsidRPr="00CF2E7C" w:rsidRDefault="004D4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02EF686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70C2103C" w:rsidR="00702413" w:rsidRPr="009C4D10" w:rsidRDefault="00702413" w:rsidP="004A1DB3">
            <w:pPr>
              <w:jc w:val="both"/>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5F748950" w:rsidR="00702413" w:rsidRPr="009C4D10" w:rsidRDefault="00E409F3" w:rsidP="00E409F3">
            <w:pPr>
              <w:jc w:val="both"/>
              <w:textAlignment w:val="baseline"/>
              <w:rPr>
                <w:rFonts w:eastAsia="Times New Roman" w:cstheme="minorHAnsi"/>
                <w:kern w:val="0"/>
                <w:lang w:eastAsia="en-GB"/>
                <w14:ligatures w14:val="none"/>
              </w:rPr>
            </w:pPr>
            <w:r w:rsidRPr="00E409F3">
              <w:rPr>
                <w:rFonts w:eastAsia="Times New Roman" w:cstheme="minorHAnsi"/>
                <w:kern w:val="0"/>
                <w:lang w:eastAsia="en-GB"/>
                <w14:ligatures w14:val="none"/>
              </w:rPr>
              <w:t xml:space="preserve">The primary barrier to implementing the Investment Firms Regulation for climate-related financial risk management is that the regulation fundamentally defers concrete climate risk requirements to future regulatory development </w:t>
            </w:r>
            <w:r>
              <w:rPr>
                <w:rFonts w:eastAsia="Times New Roman" w:cstheme="minorHAnsi"/>
                <w:kern w:val="0"/>
                <w:lang w:eastAsia="en-GB"/>
                <w14:ligatures w14:val="none"/>
              </w:rPr>
              <w:t xml:space="preserve">(Art. 34 - </w:t>
            </w:r>
            <w:r w:rsidRPr="00E409F3">
              <w:rPr>
                <w:rFonts w:eastAsia="Times New Roman" w:cstheme="minorHAnsi"/>
                <w:kern w:val="0"/>
                <w:lang w:eastAsia="en-GB"/>
                <w14:ligatures w14:val="none"/>
              </w:rPr>
              <w:t>Prudential treatment of assets exposed to activities associated with</w:t>
            </w:r>
            <w:r>
              <w:rPr>
                <w:rFonts w:eastAsia="Times New Roman" w:cstheme="minorHAnsi"/>
                <w:kern w:val="0"/>
                <w:lang w:eastAsia="en-GB"/>
                <w14:ligatures w14:val="none"/>
              </w:rPr>
              <w:t xml:space="preserve"> </w:t>
            </w:r>
            <w:r w:rsidRPr="00E409F3">
              <w:rPr>
                <w:rFonts w:eastAsia="Times New Roman" w:cstheme="minorHAnsi"/>
                <w:kern w:val="0"/>
                <w:lang w:eastAsia="en-GB"/>
                <w14:ligatures w14:val="none"/>
              </w:rPr>
              <w:t>environmental or social objective</w:t>
            </w:r>
            <w:r>
              <w:rPr>
                <w:rFonts w:eastAsia="Times New Roman" w:cstheme="minorHAnsi"/>
                <w:kern w:val="0"/>
                <w:lang w:eastAsia="en-GB"/>
                <w14:ligatures w14:val="none"/>
              </w:rPr>
              <w:t>s)</w:t>
            </w:r>
            <w:r w:rsidRPr="00E409F3">
              <w:rPr>
                <w:rFonts w:eastAsia="Times New Roman" w:cstheme="minorHAnsi"/>
                <w:kern w:val="0"/>
                <w:lang w:eastAsia="en-GB"/>
                <w14:ligatures w14:val="none"/>
              </w:rPr>
              <w:t xml:space="preserve">. The regulation acknowledges the need to assess "methodological options for the assessment of exposures to assets or activities associated substantially with environmental or social objectives" and "the specific risk profile" of such exposures </w:t>
            </w:r>
            <w:r>
              <w:rPr>
                <w:rFonts w:eastAsia="Times New Roman" w:cstheme="minorHAnsi"/>
                <w:kern w:val="0"/>
                <w:lang w:eastAsia="en-GB"/>
                <w14:ligatures w14:val="none"/>
              </w:rPr>
              <w:t xml:space="preserve">(Art. 34 - </w:t>
            </w:r>
            <w:r w:rsidRPr="00E409F3">
              <w:rPr>
                <w:rFonts w:eastAsia="Times New Roman" w:cstheme="minorHAnsi"/>
                <w:kern w:val="0"/>
                <w:lang w:eastAsia="en-GB"/>
                <w14:ligatures w14:val="none"/>
              </w:rPr>
              <w:t>Prudential treatment of assets exposed to activities associated with</w:t>
            </w:r>
            <w:r>
              <w:rPr>
                <w:rFonts w:eastAsia="Times New Roman" w:cstheme="minorHAnsi"/>
                <w:kern w:val="0"/>
                <w:lang w:eastAsia="en-GB"/>
                <w14:ligatures w14:val="none"/>
              </w:rPr>
              <w:t xml:space="preserve"> </w:t>
            </w:r>
            <w:r w:rsidRPr="00E409F3">
              <w:rPr>
                <w:rFonts w:eastAsia="Times New Roman" w:cstheme="minorHAnsi"/>
                <w:kern w:val="0"/>
                <w:lang w:eastAsia="en-GB"/>
                <w14:ligatures w14:val="none"/>
              </w:rPr>
              <w:t>environmental or social objective</w:t>
            </w:r>
            <w:r>
              <w:rPr>
                <w:rFonts w:eastAsia="Times New Roman" w:cstheme="minorHAnsi"/>
                <w:kern w:val="0"/>
                <w:lang w:eastAsia="en-GB"/>
                <w14:ligatures w14:val="none"/>
              </w:rPr>
              <w:t>s)</w:t>
            </w:r>
            <w:r w:rsidRPr="00E409F3">
              <w:rPr>
                <w:rFonts w:eastAsia="Times New Roman" w:cstheme="minorHAnsi"/>
                <w:kern w:val="0"/>
                <w:lang w:eastAsia="en-GB"/>
                <w14:ligatures w14:val="none"/>
              </w:rPr>
              <w:t xml:space="preserve">, but provides no established framework for doing so. Key challenges include uncertainty about risk profiles of climate-related assets, concerns about "risks related to the depreciation of assets exposed to environmental factors as a result of regulatory changes such as those aiming at climate change mitigation", and potential effects on financial stability </w:t>
            </w:r>
            <w:r>
              <w:rPr>
                <w:rFonts w:eastAsia="Times New Roman" w:cstheme="minorHAnsi"/>
                <w:kern w:val="0"/>
                <w:lang w:eastAsia="en-GB"/>
                <w14:ligatures w14:val="none"/>
              </w:rPr>
              <w:t xml:space="preserve">(Art. 34 - </w:t>
            </w:r>
            <w:r w:rsidRPr="00E409F3">
              <w:rPr>
                <w:rFonts w:eastAsia="Times New Roman" w:cstheme="minorHAnsi"/>
                <w:kern w:val="0"/>
                <w:lang w:eastAsia="en-GB"/>
                <w14:ligatures w14:val="none"/>
              </w:rPr>
              <w:t>Prudential treatment of assets exposed to activities associated with</w:t>
            </w:r>
            <w:r>
              <w:rPr>
                <w:rFonts w:eastAsia="Times New Roman" w:cstheme="minorHAnsi"/>
                <w:kern w:val="0"/>
                <w:lang w:eastAsia="en-GB"/>
                <w14:ligatures w14:val="none"/>
              </w:rPr>
              <w:t xml:space="preserve"> </w:t>
            </w:r>
            <w:r w:rsidRPr="00E409F3">
              <w:rPr>
                <w:rFonts w:eastAsia="Times New Roman" w:cstheme="minorHAnsi"/>
                <w:kern w:val="0"/>
                <w:lang w:eastAsia="en-GB"/>
                <w14:ligatures w14:val="none"/>
              </w:rPr>
              <w:t>environmental or social objective</w:t>
            </w:r>
            <w:r>
              <w:rPr>
                <w:rFonts w:eastAsia="Times New Roman" w:cstheme="minorHAnsi"/>
                <w:kern w:val="0"/>
                <w:lang w:eastAsia="en-GB"/>
                <w14:ligatures w14:val="none"/>
              </w:rPr>
              <w:t>s)</w:t>
            </w:r>
            <w:r w:rsidRPr="00E409F3">
              <w:rPr>
                <w:rFonts w:eastAsia="Times New Roman" w:cstheme="minorHAnsi"/>
                <w:kern w:val="0"/>
                <w:lang w:eastAsia="en-GB"/>
                <w14:ligatures w14:val="none"/>
              </w:rPr>
              <w:t xml:space="preserve">. While ESG risk disclosure requirements were introduced from December 2022 </w:t>
            </w:r>
            <w:r>
              <w:rPr>
                <w:rFonts w:eastAsia="Times New Roman" w:cstheme="minorHAnsi"/>
                <w:kern w:val="0"/>
                <w:lang w:eastAsia="en-GB"/>
                <w14:ligatures w14:val="none"/>
              </w:rPr>
              <w:t>(</w:t>
            </w:r>
            <w:r w:rsidRPr="00E409F3">
              <w:rPr>
                <w:rFonts w:eastAsia="Times New Roman" w:cstheme="minorHAnsi"/>
                <w:kern w:val="0"/>
                <w:lang w:eastAsia="en-GB"/>
                <w14:ligatures w14:val="none"/>
              </w:rPr>
              <w:t>Article 53</w:t>
            </w:r>
            <w:r>
              <w:rPr>
                <w:rFonts w:eastAsia="Times New Roman" w:cstheme="minorHAnsi"/>
                <w:kern w:val="0"/>
                <w:lang w:eastAsia="en-GB"/>
                <w14:ligatures w14:val="none"/>
              </w:rPr>
              <w:t xml:space="preserve"> - </w:t>
            </w:r>
            <w:r w:rsidRPr="00E409F3">
              <w:rPr>
                <w:rFonts w:eastAsia="Times New Roman" w:cstheme="minorHAnsi"/>
                <w:kern w:val="0"/>
                <w:lang w:eastAsia="en-GB"/>
                <w14:ligatures w14:val="none"/>
              </w:rPr>
              <w:t>Environmental, social and governance risks</w:t>
            </w:r>
            <w:r>
              <w:rPr>
                <w:rFonts w:eastAsia="Times New Roman" w:cstheme="minorHAnsi"/>
                <w:kern w:val="0"/>
                <w:lang w:eastAsia="en-GB"/>
                <w14:ligatures w14:val="none"/>
              </w:rPr>
              <w:t>)</w:t>
            </w:r>
            <w:r w:rsidRPr="00E409F3">
              <w:rPr>
                <w:rFonts w:eastAsia="Times New Roman" w:cstheme="minorHAnsi"/>
                <w:kern w:val="0"/>
                <w:lang w:eastAsia="en-GB"/>
                <w14:ligatures w14:val="none"/>
              </w:rPr>
              <w:t>, the regulation lacks detailed guidance on climate risk assessment methodologies, creating implementation gaps for investment firms seeking to develop comprehensive climate risk management frameworks.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42CF909B" w:rsidR="00FE0EA5" w:rsidRPr="009C4D10" w:rsidRDefault="00841D5F" w:rsidP="00CF2E7C">
            <w:pPr>
              <w:rPr>
                <w:rFonts w:cstheme="minorHAnsi"/>
              </w:rPr>
            </w:pPr>
            <w:r>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484D670" w:rsidR="00FE0EA5" w:rsidRPr="009C4D10" w:rsidRDefault="00841D5F" w:rsidP="00CF2E7C">
            <w:pPr>
              <w:rPr>
                <w:rFonts w:cstheme="minorHAnsi"/>
              </w:rPr>
            </w:pPr>
            <w:r>
              <w:rPr>
                <w:rFonts w:cstheme="minorHAnsi"/>
                <w:lang w:val="en-SG"/>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9B8620B" w:rsidR="00FE0EA5" w:rsidRPr="009C4D10" w:rsidRDefault="00841D5F" w:rsidP="00CF2E7C">
            <w:pPr>
              <w:rPr>
                <w:rFonts w:cstheme="minorHAnsi"/>
              </w:rPr>
            </w:pPr>
            <w:r>
              <w:rPr>
                <w:rFonts w:cstheme="minorHAnsi"/>
                <w:lang w:val="en-SG"/>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1201555" w:rsidR="00FE0EA5" w:rsidRPr="009C4D10" w:rsidRDefault="00841D5F" w:rsidP="00CF2E7C">
            <w:pPr>
              <w:rPr>
                <w:rFonts w:cstheme="minorHAnsi"/>
              </w:rPr>
            </w:pPr>
            <w:r>
              <w:rPr>
                <w:rFonts w:cstheme="minorHAnsi"/>
                <w:lang w:val="en-SG"/>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4455D46" w:rsidR="00FE0EA5" w:rsidRPr="009C4D10" w:rsidRDefault="00841D5F" w:rsidP="00CF2E7C">
            <w:pPr>
              <w:rPr>
                <w:rFonts w:cstheme="minorHAnsi"/>
              </w:rPr>
            </w:pPr>
            <w:r>
              <w:rPr>
                <w:rFonts w:cstheme="minorHAnsi"/>
                <w:lang w:val="en-SG"/>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5351BB7A" w:rsidR="00FE0EA5" w:rsidRPr="009C4D10" w:rsidRDefault="00841D5F" w:rsidP="00CF2E7C">
            <w:pPr>
              <w:rPr>
                <w:rFonts w:cstheme="minorHAnsi"/>
              </w:rPr>
            </w:pP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5B448817" w:rsidR="00FE0EA5" w:rsidRPr="009C4D10" w:rsidRDefault="00841D5F" w:rsidP="00CF2E7C">
            <w:pPr>
              <w:rPr>
                <w:rFonts w:cstheme="minorHAnsi"/>
              </w:rPr>
            </w:pPr>
            <w:r>
              <w:rPr>
                <w:rFonts w:cstheme="minorHAnsi"/>
                <w:lang w:val="en-SG"/>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27603EB" w14:textId="335FBCBC" w:rsidR="00442600" w:rsidRDefault="00442600" w:rsidP="00442600">
            <w:pPr>
              <w:rPr>
                <w:rFonts w:cstheme="minorHAnsi"/>
              </w:rPr>
            </w:pPr>
            <w:r>
              <w:rPr>
                <w:rFonts w:cstheme="minorHAnsi"/>
              </w:rPr>
              <w:t xml:space="preserve">The Regulation </w:t>
            </w:r>
            <w:r w:rsidRPr="00CF6224">
              <w:rPr>
                <w:rFonts w:cstheme="minorHAnsi"/>
              </w:rPr>
              <w:t xml:space="preserve">references </w:t>
            </w:r>
            <w:r>
              <w:rPr>
                <w:rFonts w:cstheme="minorHAnsi"/>
              </w:rPr>
              <w:t>to:</w:t>
            </w:r>
          </w:p>
          <w:p w14:paraId="27A85817" w14:textId="28C2A175" w:rsidR="00841D5F" w:rsidRPr="00841D5F" w:rsidRDefault="00841D5F" w:rsidP="00841D5F">
            <w:pPr>
              <w:pStyle w:val="ListParagraph"/>
              <w:numPr>
                <w:ilvl w:val="0"/>
                <w:numId w:val="50"/>
              </w:numPr>
              <w:rPr>
                <w:rStyle w:val="Hyperlink"/>
                <w:rFonts w:cstheme="minorHAnsi"/>
                <w:color w:val="auto"/>
                <w:u w:val="none"/>
              </w:rPr>
            </w:pPr>
            <w:r>
              <w:rPr>
                <w:rFonts w:cstheme="minorHAnsi"/>
              </w:rPr>
              <w:lastRenderedPageBreak/>
              <w:t>Directive</w:t>
            </w:r>
            <w:r w:rsidRPr="00DD72A3">
              <w:rPr>
                <w:rFonts w:cstheme="minorHAnsi"/>
              </w:rPr>
              <w:t xml:space="preserve"> (EU) 2019/203</w:t>
            </w:r>
            <w:r>
              <w:rPr>
                <w:rFonts w:cstheme="minorHAnsi"/>
              </w:rPr>
              <w:t>4</w:t>
            </w:r>
            <w:r w:rsidRPr="00DD72A3">
              <w:rPr>
                <w:rFonts w:cstheme="minorHAnsi"/>
              </w:rPr>
              <w:t xml:space="preserve"> (</w:t>
            </w:r>
            <w:hyperlink r:id="rId24" w:history="1">
              <w:r w:rsidRPr="00841D5F">
                <w:rPr>
                  <w:rStyle w:val="Hyperlink"/>
                  <w:rFonts w:cstheme="minorHAnsi"/>
                </w:rPr>
                <w:t>IFD</w:t>
              </w:r>
            </w:hyperlink>
            <w:r>
              <w:rPr>
                <w:rFonts w:cstheme="minorHAnsi"/>
              </w:rPr>
              <w:t>)</w:t>
            </w:r>
          </w:p>
          <w:p w14:paraId="4EE44712" w14:textId="58D6131E" w:rsidR="00841D5F" w:rsidRDefault="00841D5F" w:rsidP="00841D5F">
            <w:pPr>
              <w:pStyle w:val="ListParagraph"/>
              <w:numPr>
                <w:ilvl w:val="0"/>
                <w:numId w:val="50"/>
              </w:numPr>
              <w:rPr>
                <w:rFonts w:cstheme="minorHAnsi"/>
              </w:rPr>
            </w:pPr>
            <w:r w:rsidRPr="00057226">
              <w:rPr>
                <w:rFonts w:cstheme="minorHAnsi"/>
              </w:rPr>
              <w:t>Directive 2004/39/EC (MiFID)</w:t>
            </w:r>
            <w:r>
              <w:rPr>
                <w:rFonts w:cstheme="minorHAnsi"/>
              </w:rPr>
              <w:t xml:space="preserve"> – updated by </w:t>
            </w:r>
            <w:r w:rsidRPr="00057226">
              <w:rPr>
                <w:rFonts w:cstheme="minorHAnsi"/>
              </w:rPr>
              <w:t>Directive 2014/65/EU</w:t>
            </w:r>
            <w:r>
              <w:rPr>
                <w:rFonts w:cstheme="minorHAnsi"/>
              </w:rPr>
              <w:t xml:space="preserve"> (</w:t>
            </w:r>
            <w:hyperlink r:id="rId25" w:history="1">
              <w:r w:rsidRPr="00057226">
                <w:rPr>
                  <w:rStyle w:val="Hyperlink"/>
                  <w:rFonts w:cstheme="minorHAnsi"/>
                </w:rPr>
                <w:t>MiFID II</w:t>
              </w:r>
            </w:hyperlink>
            <w:r>
              <w:rPr>
                <w:rFonts w:cstheme="minorHAnsi"/>
              </w:rPr>
              <w:t>)</w:t>
            </w:r>
          </w:p>
          <w:p w14:paraId="5B3D5BBF" w14:textId="77777777" w:rsidR="00C01AF9" w:rsidRDefault="00442600" w:rsidP="00841D5F">
            <w:pPr>
              <w:pStyle w:val="ListParagraph"/>
              <w:numPr>
                <w:ilvl w:val="0"/>
                <w:numId w:val="50"/>
              </w:numPr>
              <w:rPr>
                <w:rFonts w:cstheme="minorHAnsi"/>
              </w:rPr>
            </w:pPr>
            <w:r w:rsidRPr="00841D5F">
              <w:rPr>
                <w:rFonts w:cstheme="minorHAnsi"/>
              </w:rPr>
              <w:t>Regulation (EU) 575/2013 (</w:t>
            </w:r>
            <w:hyperlink r:id="rId26" w:history="1">
              <w:r w:rsidRPr="00841D5F">
                <w:rPr>
                  <w:rStyle w:val="Hyperlink"/>
                  <w:rFonts w:cstheme="minorHAnsi"/>
                </w:rPr>
                <w:t>CRR</w:t>
              </w:r>
            </w:hyperlink>
            <w:r w:rsidRPr="00841D5F">
              <w:rPr>
                <w:rFonts w:cstheme="minorHAnsi"/>
              </w:rPr>
              <w:t>)</w:t>
            </w:r>
          </w:p>
          <w:p w14:paraId="7478C0BE" w14:textId="6DAF3609" w:rsidR="00841D5F" w:rsidRPr="00841D5F" w:rsidRDefault="004A1DB3" w:rsidP="00841D5F">
            <w:pPr>
              <w:pStyle w:val="ListParagraph"/>
              <w:numPr>
                <w:ilvl w:val="0"/>
                <w:numId w:val="50"/>
              </w:numPr>
              <w:rPr>
                <w:rFonts w:cstheme="minorHAnsi"/>
              </w:rPr>
            </w:pPr>
            <w:r>
              <w:rPr>
                <w:rFonts w:cstheme="minorHAnsi"/>
              </w:rPr>
              <w:t>European Banking Authority (</w:t>
            </w:r>
            <w:hyperlink r:id="rId27" w:history="1">
              <w:r w:rsidRPr="004A1DB3">
                <w:rPr>
                  <w:rStyle w:val="Hyperlink"/>
                  <w:rFonts w:cstheme="minorHAnsi"/>
                </w:rPr>
                <w:t>EBA</w:t>
              </w:r>
            </w:hyperlink>
            <w:r>
              <w:rPr>
                <w:rFonts w:cstheme="minorHAnsi"/>
              </w:rPr>
              <w:t>)</w:t>
            </w:r>
            <w:r w:rsidR="00841D5F" w:rsidRPr="00841D5F">
              <w:rPr>
                <w:rFonts w:cstheme="minorHAnsi"/>
              </w:rPr>
              <w:t xml:space="preserve"> technical standards</w:t>
            </w:r>
          </w:p>
        </w:tc>
      </w:tr>
    </w:tbl>
    <w:p w14:paraId="6EB6D981" w14:textId="51801995" w:rsidR="33822AF7" w:rsidRDefault="33822AF7">
      <w:r>
        <w:lastRenderedPageBreak/>
        <w:br w:type="page"/>
      </w:r>
    </w:p>
    <w:p w14:paraId="75C57361" w14:textId="77777777" w:rsidR="00D4323A" w:rsidRDefault="00D4323A" w:rsidP="466E435B">
      <w:pPr>
        <w:pStyle w:val="Heading1"/>
      </w:pPr>
      <w:bookmarkStart w:id="54" w:name="_Toc198223638"/>
      <w:bookmarkEnd w:id="40"/>
      <w:r>
        <w:lastRenderedPageBreak/>
        <w:t>Domain 6: Methane Abatement</w:t>
      </w:r>
      <w:bookmarkEnd w:id="54"/>
    </w:p>
    <w:p w14:paraId="144EDD37" w14:textId="77777777" w:rsidR="002F0752" w:rsidRDefault="002F0752" w:rsidP="002F0752">
      <w:pPr>
        <w:pStyle w:val="Heading2"/>
        <w:rPr>
          <w:rFonts w:ascii="Calibri" w:eastAsia="Calibri" w:hAnsi="Calibri" w:cs="Calibri"/>
          <w:color w:val="000000" w:themeColor="text1"/>
        </w:rPr>
      </w:pPr>
      <w:bookmarkStart w:id="55" w:name="_Toc198223639"/>
      <w:r>
        <w:t>Section 6.1: Who is being targeted?</w:t>
      </w:r>
      <w:bookmarkEnd w:id="5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AD760E"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D760E" w:rsidRDefault="002F0752" w:rsidP="00CF2E7C">
            <w:pPr>
              <w:rPr>
                <w:rFonts w:ascii="Calibri" w:hAnsi="Calibri" w:cs="Calibri"/>
                <w:lang w:val="fr-FR"/>
              </w:rPr>
            </w:pPr>
            <w:r w:rsidRPr="00AD760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AD760E"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6" w:name="_Toc198223640"/>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7" w:name="_Toc198223641"/>
      <w:r>
        <w:rPr>
          <w:rFonts w:eastAsia="Arial"/>
        </w:rPr>
        <w:lastRenderedPageBreak/>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C72D34" w14:textId="77777777" w:rsidR="000A7F60" w:rsidRDefault="000A7F60" w:rsidP="00874E39">
      <w:r>
        <w:separator/>
      </w:r>
    </w:p>
  </w:endnote>
  <w:endnote w:type="continuationSeparator" w:id="0">
    <w:p w14:paraId="6C101783" w14:textId="77777777" w:rsidR="000A7F60" w:rsidRDefault="000A7F60" w:rsidP="00874E39">
      <w:r>
        <w:continuationSeparator/>
      </w:r>
    </w:p>
  </w:endnote>
  <w:endnote w:type="continuationNotice" w:id="1">
    <w:p w14:paraId="2BCBC012" w14:textId="77777777" w:rsidR="000A7F60" w:rsidRDefault="000A7F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4A60B6" w14:textId="77777777" w:rsidR="000A7F60" w:rsidRDefault="000A7F60" w:rsidP="00874E39">
      <w:r>
        <w:separator/>
      </w:r>
    </w:p>
  </w:footnote>
  <w:footnote w:type="continuationSeparator" w:id="0">
    <w:p w14:paraId="286FBFF7" w14:textId="77777777" w:rsidR="000A7F60" w:rsidRDefault="000A7F60" w:rsidP="00874E39">
      <w:r>
        <w:continuationSeparator/>
      </w:r>
    </w:p>
  </w:footnote>
  <w:footnote w:type="continuationNotice" w:id="1">
    <w:p w14:paraId="21F687EC" w14:textId="77777777" w:rsidR="000A7F60" w:rsidRDefault="000A7F6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0FC3550A"/>
    <w:multiLevelType w:val="hybridMultilevel"/>
    <w:tmpl w:val="7A884160"/>
    <w:lvl w:ilvl="0" w:tplc="53485B5E">
      <w:start w:val="18"/>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6394A4A"/>
    <w:multiLevelType w:val="hybridMultilevel"/>
    <w:tmpl w:val="21B6C146"/>
    <w:lvl w:ilvl="0" w:tplc="ADDE91A0">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1D207E4A"/>
    <w:multiLevelType w:val="hybridMultilevel"/>
    <w:tmpl w:val="AC9209BE"/>
    <w:lvl w:ilvl="0" w:tplc="D63C790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E77FFB"/>
    <w:multiLevelType w:val="hybridMultilevel"/>
    <w:tmpl w:val="D40EA232"/>
    <w:lvl w:ilvl="0" w:tplc="C30AE7D8">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87026A"/>
    <w:multiLevelType w:val="multilevel"/>
    <w:tmpl w:val="8F08B35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6C251F"/>
    <w:multiLevelType w:val="hybridMultilevel"/>
    <w:tmpl w:val="2B723496"/>
    <w:lvl w:ilvl="0" w:tplc="9148FED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9"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0"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2"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3"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4"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5"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408403D"/>
    <w:multiLevelType w:val="hybridMultilevel"/>
    <w:tmpl w:val="92924D76"/>
    <w:lvl w:ilvl="0" w:tplc="83FE4AD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942450E"/>
    <w:multiLevelType w:val="hybridMultilevel"/>
    <w:tmpl w:val="95DA428A"/>
    <w:lvl w:ilvl="0" w:tplc="E054BA90">
      <w:start w:val="18"/>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9"/>
  </w:num>
  <w:num w:numId="3" w16cid:durableId="690952733">
    <w:abstractNumId w:val="48"/>
  </w:num>
  <w:num w:numId="4" w16cid:durableId="1689330127">
    <w:abstractNumId w:val="1"/>
  </w:num>
  <w:num w:numId="5" w16cid:durableId="401291788">
    <w:abstractNumId w:val="34"/>
  </w:num>
  <w:num w:numId="6" w16cid:durableId="1276788690">
    <w:abstractNumId w:val="16"/>
  </w:num>
  <w:num w:numId="7" w16cid:durableId="566767730">
    <w:abstractNumId w:val="25"/>
  </w:num>
  <w:num w:numId="8" w16cid:durableId="1780710843">
    <w:abstractNumId w:val="40"/>
  </w:num>
  <w:num w:numId="9" w16cid:durableId="1685783054">
    <w:abstractNumId w:val="3"/>
  </w:num>
  <w:num w:numId="10" w16cid:durableId="950551298">
    <w:abstractNumId w:val="37"/>
  </w:num>
  <w:num w:numId="11" w16cid:durableId="1591960799">
    <w:abstractNumId w:val="55"/>
  </w:num>
  <w:num w:numId="12" w16cid:durableId="1344891410">
    <w:abstractNumId w:val="11"/>
  </w:num>
  <w:num w:numId="13" w16cid:durableId="2023899324">
    <w:abstractNumId w:val="14"/>
  </w:num>
  <w:num w:numId="14" w16cid:durableId="430587014">
    <w:abstractNumId w:val="8"/>
  </w:num>
  <w:num w:numId="15" w16cid:durableId="1742869061">
    <w:abstractNumId w:val="36"/>
  </w:num>
  <w:num w:numId="16" w16cid:durableId="1996450437">
    <w:abstractNumId w:val="23"/>
  </w:num>
  <w:num w:numId="17" w16cid:durableId="1529031027">
    <w:abstractNumId w:val="10"/>
  </w:num>
  <w:num w:numId="18" w16cid:durableId="568614617">
    <w:abstractNumId w:val="21"/>
  </w:num>
  <w:num w:numId="19" w16cid:durableId="1530605858">
    <w:abstractNumId w:val="50"/>
  </w:num>
  <w:num w:numId="20" w16cid:durableId="1328172586">
    <w:abstractNumId w:val="19"/>
  </w:num>
  <w:num w:numId="21" w16cid:durableId="184827816">
    <w:abstractNumId w:val="33"/>
  </w:num>
  <w:num w:numId="22" w16cid:durableId="1785346599">
    <w:abstractNumId w:val="39"/>
  </w:num>
  <w:num w:numId="23" w16cid:durableId="1294288901">
    <w:abstractNumId w:val="32"/>
  </w:num>
  <w:num w:numId="24" w16cid:durableId="1603957975">
    <w:abstractNumId w:val="52"/>
  </w:num>
  <w:num w:numId="25" w16cid:durableId="1659531047">
    <w:abstractNumId w:val="51"/>
  </w:num>
  <w:num w:numId="26" w16cid:durableId="752774403">
    <w:abstractNumId w:val="28"/>
  </w:num>
  <w:num w:numId="27" w16cid:durableId="347872198">
    <w:abstractNumId w:val="6"/>
  </w:num>
  <w:num w:numId="28" w16cid:durableId="537133110">
    <w:abstractNumId w:val="15"/>
  </w:num>
  <w:num w:numId="29" w16cid:durableId="1632318729">
    <w:abstractNumId w:val="53"/>
  </w:num>
  <w:num w:numId="30" w16cid:durableId="1268124074">
    <w:abstractNumId w:val="38"/>
  </w:num>
  <w:num w:numId="31" w16cid:durableId="887108748">
    <w:abstractNumId w:val="35"/>
  </w:num>
  <w:num w:numId="32" w16cid:durableId="1826125712">
    <w:abstractNumId w:val="41"/>
  </w:num>
  <w:num w:numId="33" w16cid:durableId="823357978">
    <w:abstractNumId w:val="45"/>
  </w:num>
  <w:num w:numId="34" w16cid:durableId="1092120443">
    <w:abstractNumId w:val="44"/>
  </w:num>
  <w:num w:numId="35" w16cid:durableId="124861188">
    <w:abstractNumId w:val="13"/>
  </w:num>
  <w:num w:numId="36" w16cid:durableId="1952588250">
    <w:abstractNumId w:val="43"/>
  </w:num>
  <w:num w:numId="37" w16cid:durableId="1712027211">
    <w:abstractNumId w:val="4"/>
  </w:num>
  <w:num w:numId="38" w16cid:durableId="2033795929">
    <w:abstractNumId w:val="2"/>
  </w:num>
  <w:num w:numId="39" w16cid:durableId="1238595582">
    <w:abstractNumId w:val="30"/>
  </w:num>
  <w:num w:numId="40" w16cid:durableId="416558262">
    <w:abstractNumId w:val="26"/>
  </w:num>
  <w:num w:numId="41" w16cid:durableId="1543715517">
    <w:abstractNumId w:val="22"/>
  </w:num>
  <w:num w:numId="42" w16cid:durableId="452208391">
    <w:abstractNumId w:val="18"/>
  </w:num>
  <w:num w:numId="43" w16cid:durableId="260340070">
    <w:abstractNumId w:val="0"/>
  </w:num>
  <w:num w:numId="44" w16cid:durableId="1639914969">
    <w:abstractNumId w:val="5"/>
  </w:num>
  <w:num w:numId="45" w16cid:durableId="1554191892">
    <w:abstractNumId w:val="46"/>
  </w:num>
  <w:num w:numId="46" w16cid:durableId="947811845">
    <w:abstractNumId w:val="54"/>
  </w:num>
  <w:num w:numId="47" w16cid:durableId="342588554">
    <w:abstractNumId w:val="31"/>
  </w:num>
  <w:num w:numId="48" w16cid:durableId="318391343">
    <w:abstractNumId w:val="42"/>
  </w:num>
  <w:num w:numId="49" w16cid:durableId="1415779734">
    <w:abstractNumId w:val="9"/>
  </w:num>
  <w:num w:numId="50" w16cid:durableId="501555519">
    <w:abstractNumId w:val="7"/>
  </w:num>
  <w:num w:numId="51" w16cid:durableId="2020887459">
    <w:abstractNumId w:val="49"/>
  </w:num>
  <w:num w:numId="52" w16cid:durableId="1805459803">
    <w:abstractNumId w:val="17"/>
  </w:num>
  <w:num w:numId="53" w16cid:durableId="1289631490">
    <w:abstractNumId w:val="24"/>
  </w:num>
  <w:num w:numId="54" w16cid:durableId="551964522">
    <w:abstractNumId w:val="27"/>
  </w:num>
  <w:num w:numId="55" w16cid:durableId="324089208">
    <w:abstractNumId w:val="12"/>
  </w:num>
  <w:num w:numId="56" w16cid:durableId="1128088161">
    <w:abstractNumId w:val="4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D5A"/>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B4C"/>
    <w:rsid w:val="000A0D34"/>
    <w:rsid w:val="000A1365"/>
    <w:rsid w:val="000A1490"/>
    <w:rsid w:val="000A1828"/>
    <w:rsid w:val="000A1917"/>
    <w:rsid w:val="000A1C25"/>
    <w:rsid w:val="000A3C19"/>
    <w:rsid w:val="000A50AD"/>
    <w:rsid w:val="000A59F1"/>
    <w:rsid w:val="000A6B31"/>
    <w:rsid w:val="000A6F11"/>
    <w:rsid w:val="000A7C9B"/>
    <w:rsid w:val="000A7F60"/>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17DB6"/>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A7BD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91D"/>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451"/>
    <w:rsid w:val="00244207"/>
    <w:rsid w:val="00246630"/>
    <w:rsid w:val="00247DE7"/>
    <w:rsid w:val="002500FA"/>
    <w:rsid w:val="00250ED8"/>
    <w:rsid w:val="00250F54"/>
    <w:rsid w:val="0025129B"/>
    <w:rsid w:val="0025449C"/>
    <w:rsid w:val="002552C9"/>
    <w:rsid w:val="0025765F"/>
    <w:rsid w:val="00257732"/>
    <w:rsid w:val="00264CBC"/>
    <w:rsid w:val="00265129"/>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E7E63"/>
    <w:rsid w:val="002F0752"/>
    <w:rsid w:val="002F1ABB"/>
    <w:rsid w:val="002F359D"/>
    <w:rsid w:val="002F3FDE"/>
    <w:rsid w:val="002F435A"/>
    <w:rsid w:val="002F4EC2"/>
    <w:rsid w:val="002F51F3"/>
    <w:rsid w:val="002F5320"/>
    <w:rsid w:val="002F5D09"/>
    <w:rsid w:val="00300C2F"/>
    <w:rsid w:val="00300CDF"/>
    <w:rsid w:val="003020DB"/>
    <w:rsid w:val="00302816"/>
    <w:rsid w:val="00302BC0"/>
    <w:rsid w:val="003032A9"/>
    <w:rsid w:val="00303B91"/>
    <w:rsid w:val="00303D9A"/>
    <w:rsid w:val="00304070"/>
    <w:rsid w:val="00306538"/>
    <w:rsid w:val="00307058"/>
    <w:rsid w:val="003071A8"/>
    <w:rsid w:val="00307464"/>
    <w:rsid w:val="0030795E"/>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31F"/>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C0C"/>
    <w:rsid w:val="003D4F6F"/>
    <w:rsid w:val="003D5104"/>
    <w:rsid w:val="003D56A4"/>
    <w:rsid w:val="003D6DA5"/>
    <w:rsid w:val="003D7017"/>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600"/>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D85"/>
    <w:rsid w:val="0049168C"/>
    <w:rsid w:val="00493986"/>
    <w:rsid w:val="00493E0A"/>
    <w:rsid w:val="00494A74"/>
    <w:rsid w:val="00494B67"/>
    <w:rsid w:val="00496413"/>
    <w:rsid w:val="004A06B9"/>
    <w:rsid w:val="004A14A0"/>
    <w:rsid w:val="004A1B2A"/>
    <w:rsid w:val="004A1C8C"/>
    <w:rsid w:val="004A1DB3"/>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21D"/>
    <w:rsid w:val="004B666D"/>
    <w:rsid w:val="004B739E"/>
    <w:rsid w:val="004B77AB"/>
    <w:rsid w:val="004C006D"/>
    <w:rsid w:val="004C20B7"/>
    <w:rsid w:val="004C3866"/>
    <w:rsid w:val="004C3A52"/>
    <w:rsid w:val="004C53CF"/>
    <w:rsid w:val="004C6739"/>
    <w:rsid w:val="004C70AC"/>
    <w:rsid w:val="004D2730"/>
    <w:rsid w:val="004D3416"/>
    <w:rsid w:val="004D4A7B"/>
    <w:rsid w:val="004D5810"/>
    <w:rsid w:val="004D5EF5"/>
    <w:rsid w:val="004D6484"/>
    <w:rsid w:val="004D7C53"/>
    <w:rsid w:val="004E4F56"/>
    <w:rsid w:val="004E51B5"/>
    <w:rsid w:val="004F053F"/>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B87"/>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2B84"/>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9DF"/>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2A5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599"/>
    <w:rsid w:val="006D4C70"/>
    <w:rsid w:val="006D4FDE"/>
    <w:rsid w:val="006D5605"/>
    <w:rsid w:val="006E114C"/>
    <w:rsid w:val="006E18FD"/>
    <w:rsid w:val="006E1DE2"/>
    <w:rsid w:val="006E23C1"/>
    <w:rsid w:val="006E43A6"/>
    <w:rsid w:val="006E5C5F"/>
    <w:rsid w:val="006E5EE5"/>
    <w:rsid w:val="006E6B58"/>
    <w:rsid w:val="006E7195"/>
    <w:rsid w:val="006E7DC6"/>
    <w:rsid w:val="006F0E83"/>
    <w:rsid w:val="006F0FCC"/>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EAB"/>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0CE4"/>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AE8"/>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FF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1D5F"/>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2C3"/>
    <w:rsid w:val="00862AB1"/>
    <w:rsid w:val="00862EB9"/>
    <w:rsid w:val="008642FE"/>
    <w:rsid w:val="008650EB"/>
    <w:rsid w:val="0087096F"/>
    <w:rsid w:val="008709CF"/>
    <w:rsid w:val="00872A9A"/>
    <w:rsid w:val="008732CE"/>
    <w:rsid w:val="0087393B"/>
    <w:rsid w:val="008747C8"/>
    <w:rsid w:val="00874E06"/>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0DFE"/>
    <w:rsid w:val="008D2B18"/>
    <w:rsid w:val="008D2FA8"/>
    <w:rsid w:val="008D45C5"/>
    <w:rsid w:val="008D5150"/>
    <w:rsid w:val="008D54CE"/>
    <w:rsid w:val="008D78E4"/>
    <w:rsid w:val="008D7FD5"/>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658"/>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197"/>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0A78"/>
    <w:rsid w:val="00AB2CCC"/>
    <w:rsid w:val="00AB4F2C"/>
    <w:rsid w:val="00AB64F8"/>
    <w:rsid w:val="00AC6ECF"/>
    <w:rsid w:val="00AC7B6B"/>
    <w:rsid w:val="00AD1216"/>
    <w:rsid w:val="00AD1BC7"/>
    <w:rsid w:val="00AD4477"/>
    <w:rsid w:val="00AD4F51"/>
    <w:rsid w:val="00AD5285"/>
    <w:rsid w:val="00AD54D3"/>
    <w:rsid w:val="00AD70E0"/>
    <w:rsid w:val="00AD760E"/>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F9B"/>
    <w:rsid w:val="00B43080"/>
    <w:rsid w:val="00B431B1"/>
    <w:rsid w:val="00B43E73"/>
    <w:rsid w:val="00B4416A"/>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AFD"/>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584"/>
    <w:rsid w:val="00BC2F0B"/>
    <w:rsid w:val="00BC3206"/>
    <w:rsid w:val="00BC4832"/>
    <w:rsid w:val="00BC5451"/>
    <w:rsid w:val="00BC5744"/>
    <w:rsid w:val="00BC5B8A"/>
    <w:rsid w:val="00BD08FF"/>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FB0"/>
    <w:rsid w:val="00BF20B8"/>
    <w:rsid w:val="00BF2AD1"/>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0A"/>
    <w:rsid w:val="00C173CD"/>
    <w:rsid w:val="00C20109"/>
    <w:rsid w:val="00C20FC8"/>
    <w:rsid w:val="00C227D5"/>
    <w:rsid w:val="00C228DF"/>
    <w:rsid w:val="00C23CDB"/>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241"/>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BB9"/>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CBA"/>
    <w:rsid w:val="00D42EFC"/>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D0A"/>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F55"/>
    <w:rsid w:val="00DC7CFF"/>
    <w:rsid w:val="00DC7EFD"/>
    <w:rsid w:val="00DD090B"/>
    <w:rsid w:val="00DD15AE"/>
    <w:rsid w:val="00DD15F2"/>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9F3"/>
    <w:rsid w:val="00E41941"/>
    <w:rsid w:val="00E425D4"/>
    <w:rsid w:val="00E43229"/>
    <w:rsid w:val="00E454C9"/>
    <w:rsid w:val="00E455EB"/>
    <w:rsid w:val="00E50761"/>
    <w:rsid w:val="00E509D9"/>
    <w:rsid w:val="00E50B13"/>
    <w:rsid w:val="00E51B16"/>
    <w:rsid w:val="00E55423"/>
    <w:rsid w:val="00E554A3"/>
    <w:rsid w:val="00E56917"/>
    <w:rsid w:val="00E573C2"/>
    <w:rsid w:val="00E579FC"/>
    <w:rsid w:val="00E603D8"/>
    <w:rsid w:val="00E60CA5"/>
    <w:rsid w:val="00E6223B"/>
    <w:rsid w:val="00E631C3"/>
    <w:rsid w:val="00E631DE"/>
    <w:rsid w:val="00E636E4"/>
    <w:rsid w:val="00E63AC5"/>
    <w:rsid w:val="00E64624"/>
    <w:rsid w:val="00E64AEA"/>
    <w:rsid w:val="00E65D70"/>
    <w:rsid w:val="00E6706E"/>
    <w:rsid w:val="00E67095"/>
    <w:rsid w:val="00E67A04"/>
    <w:rsid w:val="00E70A6A"/>
    <w:rsid w:val="00E71E7C"/>
    <w:rsid w:val="00E727D2"/>
    <w:rsid w:val="00E73270"/>
    <w:rsid w:val="00E7355A"/>
    <w:rsid w:val="00E73663"/>
    <w:rsid w:val="00E738CA"/>
    <w:rsid w:val="00E7486E"/>
    <w:rsid w:val="00E74C68"/>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53F"/>
    <w:rsid w:val="00EC523C"/>
    <w:rsid w:val="00EC675B"/>
    <w:rsid w:val="00EC6CFD"/>
    <w:rsid w:val="00EC7098"/>
    <w:rsid w:val="00EC7D40"/>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80D"/>
    <w:rsid w:val="00EF4A01"/>
    <w:rsid w:val="00EF56B9"/>
    <w:rsid w:val="00EF5AF0"/>
    <w:rsid w:val="00EF62FD"/>
    <w:rsid w:val="00F0181A"/>
    <w:rsid w:val="00F01EE6"/>
    <w:rsid w:val="00F01F98"/>
    <w:rsid w:val="00F02219"/>
    <w:rsid w:val="00F03665"/>
    <w:rsid w:val="00F03D4C"/>
    <w:rsid w:val="00F04743"/>
    <w:rsid w:val="00F07460"/>
    <w:rsid w:val="00F10A6E"/>
    <w:rsid w:val="00F10DF1"/>
    <w:rsid w:val="00F11111"/>
    <w:rsid w:val="00F1189D"/>
    <w:rsid w:val="00F11A81"/>
    <w:rsid w:val="00F11A8A"/>
    <w:rsid w:val="00F12FB9"/>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CD6"/>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053F"/>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styleId="Strong">
    <w:name w:val="Strong"/>
    <w:basedOn w:val="DefaultParagraphFont"/>
    <w:uiPriority w:val="22"/>
    <w:qFormat/>
    <w:rsid w:val="00300CD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8030">
      <w:bodyDiv w:val="1"/>
      <w:marLeft w:val="0"/>
      <w:marRight w:val="0"/>
      <w:marTop w:val="0"/>
      <w:marBottom w:val="0"/>
      <w:divBdr>
        <w:top w:val="none" w:sz="0" w:space="0" w:color="auto"/>
        <w:left w:val="none" w:sz="0" w:space="0" w:color="auto"/>
        <w:bottom w:val="none" w:sz="0" w:space="0" w:color="auto"/>
        <w:right w:val="none" w:sz="0" w:space="0" w:color="auto"/>
      </w:divBdr>
      <w:divsChild>
        <w:div w:id="1741168102">
          <w:marLeft w:val="0"/>
          <w:marRight w:val="0"/>
          <w:marTop w:val="0"/>
          <w:marBottom w:val="0"/>
          <w:divBdr>
            <w:top w:val="none" w:sz="0" w:space="0" w:color="auto"/>
            <w:left w:val="none" w:sz="0" w:space="0" w:color="auto"/>
            <w:bottom w:val="none" w:sz="0" w:space="0" w:color="auto"/>
            <w:right w:val="none" w:sz="0" w:space="0" w:color="auto"/>
          </w:divBdr>
        </w:div>
      </w:divsChild>
    </w:div>
    <w:div w:id="153226851">
      <w:bodyDiv w:val="1"/>
      <w:marLeft w:val="0"/>
      <w:marRight w:val="0"/>
      <w:marTop w:val="0"/>
      <w:marBottom w:val="0"/>
      <w:divBdr>
        <w:top w:val="none" w:sz="0" w:space="0" w:color="auto"/>
        <w:left w:val="none" w:sz="0" w:space="0" w:color="auto"/>
        <w:bottom w:val="none" w:sz="0" w:space="0" w:color="auto"/>
        <w:right w:val="none" w:sz="0" w:space="0" w:color="auto"/>
      </w:divBdr>
    </w:div>
    <w:div w:id="185026276">
      <w:bodyDiv w:val="1"/>
      <w:marLeft w:val="0"/>
      <w:marRight w:val="0"/>
      <w:marTop w:val="0"/>
      <w:marBottom w:val="0"/>
      <w:divBdr>
        <w:top w:val="none" w:sz="0" w:space="0" w:color="auto"/>
        <w:left w:val="none" w:sz="0" w:space="0" w:color="auto"/>
        <w:bottom w:val="none" w:sz="0" w:space="0" w:color="auto"/>
        <w:right w:val="none" w:sz="0" w:space="0" w:color="auto"/>
      </w:divBdr>
      <w:divsChild>
        <w:div w:id="603612832">
          <w:marLeft w:val="0"/>
          <w:marRight w:val="0"/>
          <w:marTop w:val="0"/>
          <w:marBottom w:val="0"/>
          <w:divBdr>
            <w:top w:val="none" w:sz="0" w:space="0" w:color="auto"/>
            <w:left w:val="none" w:sz="0" w:space="0" w:color="auto"/>
            <w:bottom w:val="none" w:sz="0" w:space="0" w:color="auto"/>
            <w:right w:val="none" w:sz="0" w:space="0" w:color="auto"/>
          </w:divBdr>
          <w:divsChild>
            <w:div w:id="605313962">
              <w:marLeft w:val="0"/>
              <w:marRight w:val="0"/>
              <w:marTop w:val="0"/>
              <w:marBottom w:val="0"/>
              <w:divBdr>
                <w:top w:val="none" w:sz="0" w:space="0" w:color="auto"/>
                <w:left w:val="none" w:sz="0" w:space="0" w:color="auto"/>
                <w:bottom w:val="none" w:sz="0" w:space="0" w:color="auto"/>
                <w:right w:val="none" w:sz="0" w:space="0" w:color="auto"/>
              </w:divBdr>
              <w:divsChild>
                <w:div w:id="223882631">
                  <w:marLeft w:val="0"/>
                  <w:marRight w:val="0"/>
                  <w:marTop w:val="0"/>
                  <w:marBottom w:val="0"/>
                  <w:divBdr>
                    <w:top w:val="none" w:sz="0" w:space="0" w:color="auto"/>
                    <w:left w:val="none" w:sz="0" w:space="0" w:color="auto"/>
                    <w:bottom w:val="none" w:sz="0" w:space="0" w:color="auto"/>
                    <w:right w:val="none" w:sz="0" w:space="0" w:color="auto"/>
                  </w:divBdr>
                  <w:divsChild>
                    <w:div w:id="795373699">
                      <w:marLeft w:val="0"/>
                      <w:marRight w:val="0"/>
                      <w:marTop w:val="0"/>
                      <w:marBottom w:val="0"/>
                      <w:divBdr>
                        <w:top w:val="none" w:sz="0" w:space="0" w:color="auto"/>
                        <w:left w:val="none" w:sz="0" w:space="0" w:color="auto"/>
                        <w:bottom w:val="none" w:sz="0" w:space="0" w:color="auto"/>
                        <w:right w:val="none" w:sz="0" w:space="0" w:color="auto"/>
                      </w:divBdr>
                      <w:divsChild>
                        <w:div w:id="1955019156">
                          <w:marLeft w:val="0"/>
                          <w:marRight w:val="0"/>
                          <w:marTop w:val="0"/>
                          <w:marBottom w:val="0"/>
                          <w:divBdr>
                            <w:top w:val="none" w:sz="0" w:space="0" w:color="auto"/>
                            <w:left w:val="none" w:sz="0" w:space="0" w:color="auto"/>
                            <w:bottom w:val="none" w:sz="0" w:space="0" w:color="auto"/>
                            <w:right w:val="none" w:sz="0" w:space="0" w:color="auto"/>
                          </w:divBdr>
                          <w:divsChild>
                            <w:div w:id="61370862">
                              <w:marLeft w:val="0"/>
                              <w:marRight w:val="0"/>
                              <w:marTop w:val="0"/>
                              <w:marBottom w:val="0"/>
                              <w:divBdr>
                                <w:top w:val="none" w:sz="0" w:space="0" w:color="auto"/>
                                <w:left w:val="none" w:sz="0" w:space="0" w:color="auto"/>
                                <w:bottom w:val="none" w:sz="0" w:space="0" w:color="auto"/>
                                <w:right w:val="none" w:sz="0" w:space="0" w:color="auto"/>
                              </w:divBdr>
                              <w:divsChild>
                                <w:div w:id="629018574">
                                  <w:marLeft w:val="0"/>
                                  <w:marRight w:val="0"/>
                                  <w:marTop w:val="0"/>
                                  <w:marBottom w:val="0"/>
                                  <w:divBdr>
                                    <w:top w:val="none" w:sz="0" w:space="0" w:color="auto"/>
                                    <w:left w:val="none" w:sz="0" w:space="0" w:color="auto"/>
                                    <w:bottom w:val="none" w:sz="0" w:space="0" w:color="auto"/>
                                    <w:right w:val="none" w:sz="0" w:space="0" w:color="auto"/>
                                  </w:divBdr>
                                  <w:divsChild>
                                    <w:div w:id="288051061">
                                      <w:marLeft w:val="0"/>
                                      <w:marRight w:val="0"/>
                                      <w:marTop w:val="120"/>
                                      <w:marBottom w:val="0"/>
                                      <w:divBdr>
                                        <w:top w:val="none" w:sz="0" w:space="0" w:color="auto"/>
                                        <w:left w:val="none" w:sz="0" w:space="0" w:color="auto"/>
                                        <w:bottom w:val="none" w:sz="0" w:space="0" w:color="auto"/>
                                        <w:right w:val="none" w:sz="0" w:space="0" w:color="auto"/>
                                      </w:divBdr>
                                    </w:div>
                                    <w:div w:id="1216350543">
                                      <w:marLeft w:val="0"/>
                                      <w:marRight w:val="0"/>
                                      <w:marTop w:val="0"/>
                                      <w:marBottom w:val="0"/>
                                      <w:divBdr>
                                        <w:top w:val="none" w:sz="0" w:space="0" w:color="auto"/>
                                        <w:left w:val="none" w:sz="0" w:space="0" w:color="auto"/>
                                        <w:bottom w:val="none" w:sz="0" w:space="0" w:color="auto"/>
                                        <w:right w:val="none" w:sz="0" w:space="0" w:color="auto"/>
                                      </w:divBdr>
                                    </w:div>
                                  </w:divsChild>
                                </w:div>
                                <w:div w:id="1459449718">
                                  <w:marLeft w:val="0"/>
                                  <w:marRight w:val="0"/>
                                  <w:marTop w:val="0"/>
                                  <w:marBottom w:val="0"/>
                                  <w:divBdr>
                                    <w:top w:val="none" w:sz="0" w:space="0" w:color="auto"/>
                                    <w:left w:val="none" w:sz="0" w:space="0" w:color="auto"/>
                                    <w:bottom w:val="none" w:sz="0" w:space="0" w:color="auto"/>
                                    <w:right w:val="none" w:sz="0" w:space="0" w:color="auto"/>
                                  </w:divBdr>
                                  <w:divsChild>
                                    <w:div w:id="1283850466">
                                      <w:marLeft w:val="0"/>
                                      <w:marRight w:val="0"/>
                                      <w:marTop w:val="120"/>
                                      <w:marBottom w:val="0"/>
                                      <w:divBdr>
                                        <w:top w:val="none" w:sz="0" w:space="0" w:color="auto"/>
                                        <w:left w:val="none" w:sz="0" w:space="0" w:color="auto"/>
                                        <w:bottom w:val="none" w:sz="0" w:space="0" w:color="auto"/>
                                        <w:right w:val="none" w:sz="0" w:space="0" w:color="auto"/>
                                      </w:divBdr>
                                    </w:div>
                                    <w:div w:id="1689987891">
                                      <w:marLeft w:val="0"/>
                                      <w:marRight w:val="0"/>
                                      <w:marTop w:val="0"/>
                                      <w:marBottom w:val="0"/>
                                      <w:divBdr>
                                        <w:top w:val="none" w:sz="0" w:space="0" w:color="auto"/>
                                        <w:left w:val="none" w:sz="0" w:space="0" w:color="auto"/>
                                        <w:bottom w:val="none" w:sz="0" w:space="0" w:color="auto"/>
                                        <w:right w:val="none" w:sz="0" w:space="0" w:color="auto"/>
                                      </w:divBdr>
                                    </w:div>
                                  </w:divsChild>
                                </w:div>
                                <w:div w:id="4746529">
                                  <w:marLeft w:val="0"/>
                                  <w:marRight w:val="0"/>
                                  <w:marTop w:val="0"/>
                                  <w:marBottom w:val="0"/>
                                  <w:divBdr>
                                    <w:top w:val="none" w:sz="0" w:space="0" w:color="auto"/>
                                    <w:left w:val="none" w:sz="0" w:space="0" w:color="auto"/>
                                    <w:bottom w:val="none" w:sz="0" w:space="0" w:color="auto"/>
                                    <w:right w:val="none" w:sz="0" w:space="0" w:color="auto"/>
                                  </w:divBdr>
                                  <w:divsChild>
                                    <w:div w:id="465660263">
                                      <w:marLeft w:val="0"/>
                                      <w:marRight w:val="0"/>
                                      <w:marTop w:val="120"/>
                                      <w:marBottom w:val="0"/>
                                      <w:divBdr>
                                        <w:top w:val="none" w:sz="0" w:space="0" w:color="auto"/>
                                        <w:left w:val="none" w:sz="0" w:space="0" w:color="auto"/>
                                        <w:bottom w:val="none" w:sz="0" w:space="0" w:color="auto"/>
                                        <w:right w:val="none" w:sz="0" w:space="0" w:color="auto"/>
                                      </w:divBdr>
                                    </w:div>
                                    <w:div w:id="1178736054">
                                      <w:marLeft w:val="0"/>
                                      <w:marRight w:val="0"/>
                                      <w:marTop w:val="0"/>
                                      <w:marBottom w:val="0"/>
                                      <w:divBdr>
                                        <w:top w:val="none" w:sz="0" w:space="0" w:color="auto"/>
                                        <w:left w:val="none" w:sz="0" w:space="0" w:color="auto"/>
                                        <w:bottom w:val="none" w:sz="0" w:space="0" w:color="auto"/>
                                        <w:right w:val="none" w:sz="0" w:space="0" w:color="auto"/>
                                      </w:divBdr>
                                    </w:div>
                                  </w:divsChild>
                                </w:div>
                                <w:div w:id="614485628">
                                  <w:marLeft w:val="0"/>
                                  <w:marRight w:val="0"/>
                                  <w:marTop w:val="0"/>
                                  <w:marBottom w:val="0"/>
                                  <w:divBdr>
                                    <w:top w:val="none" w:sz="0" w:space="0" w:color="auto"/>
                                    <w:left w:val="none" w:sz="0" w:space="0" w:color="auto"/>
                                    <w:bottom w:val="none" w:sz="0" w:space="0" w:color="auto"/>
                                    <w:right w:val="none" w:sz="0" w:space="0" w:color="auto"/>
                                  </w:divBdr>
                                  <w:divsChild>
                                    <w:div w:id="822938777">
                                      <w:marLeft w:val="0"/>
                                      <w:marRight w:val="0"/>
                                      <w:marTop w:val="120"/>
                                      <w:marBottom w:val="0"/>
                                      <w:divBdr>
                                        <w:top w:val="none" w:sz="0" w:space="0" w:color="auto"/>
                                        <w:left w:val="none" w:sz="0" w:space="0" w:color="auto"/>
                                        <w:bottom w:val="none" w:sz="0" w:space="0" w:color="auto"/>
                                        <w:right w:val="none" w:sz="0" w:space="0" w:color="auto"/>
                                      </w:divBdr>
                                    </w:div>
                                    <w:div w:id="167005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4745659">
                          <w:marLeft w:val="0"/>
                          <w:marRight w:val="0"/>
                          <w:marTop w:val="0"/>
                          <w:marBottom w:val="0"/>
                          <w:divBdr>
                            <w:top w:val="none" w:sz="0" w:space="0" w:color="auto"/>
                            <w:left w:val="none" w:sz="0" w:space="0" w:color="auto"/>
                            <w:bottom w:val="none" w:sz="0" w:space="0" w:color="auto"/>
                            <w:right w:val="none" w:sz="0" w:space="0" w:color="auto"/>
                          </w:divBdr>
                          <w:divsChild>
                            <w:div w:id="2056083084">
                              <w:marLeft w:val="0"/>
                              <w:marRight w:val="0"/>
                              <w:marTop w:val="0"/>
                              <w:marBottom w:val="0"/>
                              <w:divBdr>
                                <w:top w:val="none" w:sz="0" w:space="0" w:color="auto"/>
                                <w:left w:val="none" w:sz="0" w:space="0" w:color="auto"/>
                                <w:bottom w:val="none" w:sz="0" w:space="0" w:color="auto"/>
                                <w:right w:val="none" w:sz="0" w:space="0" w:color="auto"/>
                              </w:divBdr>
                            </w:div>
                          </w:divsChild>
                        </w:div>
                        <w:div w:id="163399503">
                          <w:marLeft w:val="0"/>
                          <w:marRight w:val="0"/>
                          <w:marTop w:val="0"/>
                          <w:marBottom w:val="0"/>
                          <w:divBdr>
                            <w:top w:val="none" w:sz="0" w:space="0" w:color="auto"/>
                            <w:left w:val="none" w:sz="0" w:space="0" w:color="auto"/>
                            <w:bottom w:val="none" w:sz="0" w:space="0" w:color="auto"/>
                            <w:right w:val="none" w:sz="0" w:space="0" w:color="auto"/>
                          </w:divBdr>
                          <w:divsChild>
                            <w:div w:id="1580939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2997095">
      <w:bodyDiv w:val="1"/>
      <w:marLeft w:val="0"/>
      <w:marRight w:val="0"/>
      <w:marTop w:val="0"/>
      <w:marBottom w:val="0"/>
      <w:divBdr>
        <w:top w:val="none" w:sz="0" w:space="0" w:color="auto"/>
        <w:left w:val="none" w:sz="0" w:space="0" w:color="auto"/>
        <w:bottom w:val="none" w:sz="0" w:space="0" w:color="auto"/>
        <w:right w:val="none" w:sz="0" w:space="0" w:color="auto"/>
      </w:divBdr>
      <w:divsChild>
        <w:div w:id="714895250">
          <w:marLeft w:val="0"/>
          <w:marRight w:val="0"/>
          <w:marTop w:val="0"/>
          <w:marBottom w:val="0"/>
          <w:divBdr>
            <w:top w:val="none" w:sz="0" w:space="0" w:color="auto"/>
            <w:left w:val="none" w:sz="0" w:space="0" w:color="auto"/>
            <w:bottom w:val="none" w:sz="0" w:space="0" w:color="auto"/>
            <w:right w:val="none" w:sz="0" w:space="0" w:color="auto"/>
          </w:divBdr>
          <w:divsChild>
            <w:div w:id="1857494912">
              <w:marLeft w:val="0"/>
              <w:marRight w:val="0"/>
              <w:marTop w:val="120"/>
              <w:marBottom w:val="0"/>
              <w:divBdr>
                <w:top w:val="none" w:sz="0" w:space="0" w:color="auto"/>
                <w:left w:val="none" w:sz="0" w:space="0" w:color="auto"/>
                <w:bottom w:val="none" w:sz="0" w:space="0" w:color="auto"/>
                <w:right w:val="none" w:sz="0" w:space="0" w:color="auto"/>
              </w:divBdr>
            </w:div>
            <w:div w:id="2015109073">
              <w:marLeft w:val="0"/>
              <w:marRight w:val="0"/>
              <w:marTop w:val="0"/>
              <w:marBottom w:val="0"/>
              <w:divBdr>
                <w:top w:val="none" w:sz="0" w:space="0" w:color="auto"/>
                <w:left w:val="none" w:sz="0" w:space="0" w:color="auto"/>
                <w:bottom w:val="none" w:sz="0" w:space="0" w:color="auto"/>
                <w:right w:val="none" w:sz="0" w:space="0" w:color="auto"/>
              </w:divBdr>
            </w:div>
          </w:divsChild>
        </w:div>
        <w:div w:id="309485092">
          <w:marLeft w:val="0"/>
          <w:marRight w:val="0"/>
          <w:marTop w:val="0"/>
          <w:marBottom w:val="0"/>
          <w:divBdr>
            <w:top w:val="none" w:sz="0" w:space="0" w:color="auto"/>
            <w:left w:val="none" w:sz="0" w:space="0" w:color="auto"/>
            <w:bottom w:val="none" w:sz="0" w:space="0" w:color="auto"/>
            <w:right w:val="none" w:sz="0" w:space="0" w:color="auto"/>
          </w:divBdr>
          <w:divsChild>
            <w:div w:id="1576360465">
              <w:marLeft w:val="0"/>
              <w:marRight w:val="0"/>
              <w:marTop w:val="120"/>
              <w:marBottom w:val="0"/>
              <w:divBdr>
                <w:top w:val="none" w:sz="0" w:space="0" w:color="auto"/>
                <w:left w:val="none" w:sz="0" w:space="0" w:color="auto"/>
                <w:bottom w:val="none" w:sz="0" w:space="0" w:color="auto"/>
                <w:right w:val="none" w:sz="0" w:space="0" w:color="auto"/>
              </w:divBdr>
            </w:div>
            <w:div w:id="1426152655">
              <w:marLeft w:val="0"/>
              <w:marRight w:val="0"/>
              <w:marTop w:val="0"/>
              <w:marBottom w:val="0"/>
              <w:divBdr>
                <w:top w:val="none" w:sz="0" w:space="0" w:color="auto"/>
                <w:left w:val="none" w:sz="0" w:space="0" w:color="auto"/>
                <w:bottom w:val="none" w:sz="0" w:space="0" w:color="auto"/>
                <w:right w:val="none" w:sz="0" w:space="0" w:color="auto"/>
              </w:divBdr>
            </w:div>
          </w:divsChild>
        </w:div>
        <w:div w:id="430901785">
          <w:marLeft w:val="0"/>
          <w:marRight w:val="0"/>
          <w:marTop w:val="0"/>
          <w:marBottom w:val="0"/>
          <w:divBdr>
            <w:top w:val="none" w:sz="0" w:space="0" w:color="auto"/>
            <w:left w:val="none" w:sz="0" w:space="0" w:color="auto"/>
            <w:bottom w:val="none" w:sz="0" w:space="0" w:color="auto"/>
            <w:right w:val="none" w:sz="0" w:space="0" w:color="auto"/>
          </w:divBdr>
          <w:divsChild>
            <w:div w:id="1092821557">
              <w:marLeft w:val="0"/>
              <w:marRight w:val="0"/>
              <w:marTop w:val="120"/>
              <w:marBottom w:val="0"/>
              <w:divBdr>
                <w:top w:val="none" w:sz="0" w:space="0" w:color="auto"/>
                <w:left w:val="none" w:sz="0" w:space="0" w:color="auto"/>
                <w:bottom w:val="none" w:sz="0" w:space="0" w:color="auto"/>
                <w:right w:val="none" w:sz="0" w:space="0" w:color="auto"/>
              </w:divBdr>
            </w:div>
            <w:div w:id="1717503197">
              <w:marLeft w:val="0"/>
              <w:marRight w:val="0"/>
              <w:marTop w:val="0"/>
              <w:marBottom w:val="0"/>
              <w:divBdr>
                <w:top w:val="none" w:sz="0" w:space="0" w:color="auto"/>
                <w:left w:val="none" w:sz="0" w:space="0" w:color="auto"/>
                <w:bottom w:val="none" w:sz="0" w:space="0" w:color="auto"/>
                <w:right w:val="none" w:sz="0" w:space="0" w:color="auto"/>
              </w:divBdr>
            </w:div>
          </w:divsChild>
        </w:div>
        <w:div w:id="1897889685">
          <w:marLeft w:val="0"/>
          <w:marRight w:val="0"/>
          <w:marTop w:val="0"/>
          <w:marBottom w:val="0"/>
          <w:divBdr>
            <w:top w:val="none" w:sz="0" w:space="0" w:color="auto"/>
            <w:left w:val="none" w:sz="0" w:space="0" w:color="auto"/>
            <w:bottom w:val="none" w:sz="0" w:space="0" w:color="auto"/>
            <w:right w:val="none" w:sz="0" w:space="0" w:color="auto"/>
          </w:divBdr>
          <w:divsChild>
            <w:div w:id="2088502503">
              <w:marLeft w:val="0"/>
              <w:marRight w:val="0"/>
              <w:marTop w:val="120"/>
              <w:marBottom w:val="0"/>
              <w:divBdr>
                <w:top w:val="none" w:sz="0" w:space="0" w:color="auto"/>
                <w:left w:val="none" w:sz="0" w:space="0" w:color="auto"/>
                <w:bottom w:val="none" w:sz="0" w:space="0" w:color="auto"/>
                <w:right w:val="none" w:sz="0" w:space="0" w:color="auto"/>
              </w:divBdr>
            </w:div>
            <w:div w:id="18995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5064828">
      <w:bodyDiv w:val="1"/>
      <w:marLeft w:val="0"/>
      <w:marRight w:val="0"/>
      <w:marTop w:val="0"/>
      <w:marBottom w:val="0"/>
      <w:divBdr>
        <w:top w:val="none" w:sz="0" w:space="0" w:color="auto"/>
        <w:left w:val="none" w:sz="0" w:space="0" w:color="auto"/>
        <w:bottom w:val="none" w:sz="0" w:space="0" w:color="auto"/>
        <w:right w:val="none" w:sz="0" w:space="0" w:color="auto"/>
      </w:divBdr>
      <w:divsChild>
        <w:div w:id="864908463">
          <w:marLeft w:val="0"/>
          <w:marRight w:val="0"/>
          <w:marTop w:val="0"/>
          <w:marBottom w:val="0"/>
          <w:divBdr>
            <w:top w:val="none" w:sz="0" w:space="0" w:color="auto"/>
            <w:left w:val="none" w:sz="0" w:space="0" w:color="auto"/>
            <w:bottom w:val="none" w:sz="0" w:space="0" w:color="auto"/>
            <w:right w:val="none" w:sz="0" w:space="0" w:color="auto"/>
          </w:divBdr>
        </w:div>
      </w:divsChild>
    </w:div>
    <w:div w:id="429474662">
      <w:bodyDiv w:val="1"/>
      <w:marLeft w:val="0"/>
      <w:marRight w:val="0"/>
      <w:marTop w:val="0"/>
      <w:marBottom w:val="0"/>
      <w:divBdr>
        <w:top w:val="none" w:sz="0" w:space="0" w:color="auto"/>
        <w:left w:val="none" w:sz="0" w:space="0" w:color="auto"/>
        <w:bottom w:val="none" w:sz="0" w:space="0" w:color="auto"/>
        <w:right w:val="none" w:sz="0" w:space="0" w:color="auto"/>
      </w:divBdr>
    </w:div>
    <w:div w:id="436483074">
      <w:bodyDiv w:val="1"/>
      <w:marLeft w:val="0"/>
      <w:marRight w:val="0"/>
      <w:marTop w:val="0"/>
      <w:marBottom w:val="0"/>
      <w:divBdr>
        <w:top w:val="none" w:sz="0" w:space="0" w:color="auto"/>
        <w:left w:val="none" w:sz="0" w:space="0" w:color="auto"/>
        <w:bottom w:val="none" w:sz="0" w:space="0" w:color="auto"/>
        <w:right w:val="none" w:sz="0" w:space="0" w:color="auto"/>
      </w:divBdr>
      <w:divsChild>
        <w:div w:id="118031902">
          <w:marLeft w:val="0"/>
          <w:marRight w:val="0"/>
          <w:marTop w:val="0"/>
          <w:marBottom w:val="0"/>
          <w:divBdr>
            <w:top w:val="none" w:sz="0" w:space="0" w:color="auto"/>
            <w:left w:val="none" w:sz="0" w:space="0" w:color="auto"/>
            <w:bottom w:val="none" w:sz="0" w:space="0" w:color="auto"/>
            <w:right w:val="none" w:sz="0" w:space="0" w:color="auto"/>
          </w:divBdr>
          <w:divsChild>
            <w:div w:id="1827628630">
              <w:marLeft w:val="0"/>
              <w:marRight w:val="0"/>
              <w:marTop w:val="120"/>
              <w:marBottom w:val="0"/>
              <w:divBdr>
                <w:top w:val="none" w:sz="0" w:space="0" w:color="auto"/>
                <w:left w:val="none" w:sz="0" w:space="0" w:color="auto"/>
                <w:bottom w:val="none" w:sz="0" w:space="0" w:color="auto"/>
                <w:right w:val="none" w:sz="0" w:space="0" w:color="auto"/>
              </w:divBdr>
            </w:div>
            <w:div w:id="581522581">
              <w:marLeft w:val="0"/>
              <w:marRight w:val="0"/>
              <w:marTop w:val="0"/>
              <w:marBottom w:val="0"/>
              <w:divBdr>
                <w:top w:val="none" w:sz="0" w:space="0" w:color="auto"/>
                <w:left w:val="none" w:sz="0" w:space="0" w:color="auto"/>
                <w:bottom w:val="none" w:sz="0" w:space="0" w:color="auto"/>
                <w:right w:val="none" w:sz="0" w:space="0" w:color="auto"/>
              </w:divBdr>
            </w:div>
          </w:divsChild>
        </w:div>
        <w:div w:id="83066461">
          <w:marLeft w:val="0"/>
          <w:marRight w:val="0"/>
          <w:marTop w:val="0"/>
          <w:marBottom w:val="0"/>
          <w:divBdr>
            <w:top w:val="none" w:sz="0" w:space="0" w:color="auto"/>
            <w:left w:val="none" w:sz="0" w:space="0" w:color="auto"/>
            <w:bottom w:val="none" w:sz="0" w:space="0" w:color="auto"/>
            <w:right w:val="none" w:sz="0" w:space="0" w:color="auto"/>
          </w:divBdr>
          <w:divsChild>
            <w:div w:id="771390248">
              <w:marLeft w:val="0"/>
              <w:marRight w:val="0"/>
              <w:marTop w:val="120"/>
              <w:marBottom w:val="0"/>
              <w:divBdr>
                <w:top w:val="none" w:sz="0" w:space="0" w:color="auto"/>
                <w:left w:val="none" w:sz="0" w:space="0" w:color="auto"/>
                <w:bottom w:val="none" w:sz="0" w:space="0" w:color="auto"/>
                <w:right w:val="none" w:sz="0" w:space="0" w:color="auto"/>
              </w:divBdr>
            </w:div>
            <w:div w:id="1232472415">
              <w:marLeft w:val="0"/>
              <w:marRight w:val="0"/>
              <w:marTop w:val="0"/>
              <w:marBottom w:val="0"/>
              <w:divBdr>
                <w:top w:val="none" w:sz="0" w:space="0" w:color="auto"/>
                <w:left w:val="none" w:sz="0" w:space="0" w:color="auto"/>
                <w:bottom w:val="none" w:sz="0" w:space="0" w:color="auto"/>
                <w:right w:val="none" w:sz="0" w:space="0" w:color="auto"/>
              </w:divBdr>
            </w:div>
          </w:divsChild>
        </w:div>
        <w:div w:id="698941861">
          <w:marLeft w:val="0"/>
          <w:marRight w:val="0"/>
          <w:marTop w:val="0"/>
          <w:marBottom w:val="0"/>
          <w:divBdr>
            <w:top w:val="none" w:sz="0" w:space="0" w:color="auto"/>
            <w:left w:val="none" w:sz="0" w:space="0" w:color="auto"/>
            <w:bottom w:val="none" w:sz="0" w:space="0" w:color="auto"/>
            <w:right w:val="none" w:sz="0" w:space="0" w:color="auto"/>
          </w:divBdr>
          <w:divsChild>
            <w:div w:id="1937247608">
              <w:marLeft w:val="0"/>
              <w:marRight w:val="0"/>
              <w:marTop w:val="120"/>
              <w:marBottom w:val="0"/>
              <w:divBdr>
                <w:top w:val="none" w:sz="0" w:space="0" w:color="auto"/>
                <w:left w:val="none" w:sz="0" w:space="0" w:color="auto"/>
                <w:bottom w:val="none" w:sz="0" w:space="0" w:color="auto"/>
                <w:right w:val="none" w:sz="0" w:space="0" w:color="auto"/>
              </w:divBdr>
            </w:div>
            <w:div w:id="958026472">
              <w:marLeft w:val="0"/>
              <w:marRight w:val="0"/>
              <w:marTop w:val="0"/>
              <w:marBottom w:val="0"/>
              <w:divBdr>
                <w:top w:val="none" w:sz="0" w:space="0" w:color="auto"/>
                <w:left w:val="none" w:sz="0" w:space="0" w:color="auto"/>
                <w:bottom w:val="none" w:sz="0" w:space="0" w:color="auto"/>
                <w:right w:val="none" w:sz="0" w:space="0" w:color="auto"/>
              </w:divBdr>
            </w:div>
          </w:divsChild>
        </w:div>
        <w:div w:id="1907832916">
          <w:marLeft w:val="0"/>
          <w:marRight w:val="0"/>
          <w:marTop w:val="0"/>
          <w:marBottom w:val="0"/>
          <w:divBdr>
            <w:top w:val="none" w:sz="0" w:space="0" w:color="auto"/>
            <w:left w:val="none" w:sz="0" w:space="0" w:color="auto"/>
            <w:bottom w:val="none" w:sz="0" w:space="0" w:color="auto"/>
            <w:right w:val="none" w:sz="0" w:space="0" w:color="auto"/>
          </w:divBdr>
          <w:divsChild>
            <w:div w:id="388696116">
              <w:marLeft w:val="0"/>
              <w:marRight w:val="0"/>
              <w:marTop w:val="120"/>
              <w:marBottom w:val="0"/>
              <w:divBdr>
                <w:top w:val="none" w:sz="0" w:space="0" w:color="auto"/>
                <w:left w:val="none" w:sz="0" w:space="0" w:color="auto"/>
                <w:bottom w:val="none" w:sz="0" w:space="0" w:color="auto"/>
                <w:right w:val="none" w:sz="0" w:space="0" w:color="auto"/>
              </w:divBdr>
            </w:div>
            <w:div w:id="1345598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915917">
      <w:bodyDiv w:val="1"/>
      <w:marLeft w:val="0"/>
      <w:marRight w:val="0"/>
      <w:marTop w:val="0"/>
      <w:marBottom w:val="0"/>
      <w:divBdr>
        <w:top w:val="none" w:sz="0" w:space="0" w:color="auto"/>
        <w:left w:val="none" w:sz="0" w:space="0" w:color="auto"/>
        <w:bottom w:val="none" w:sz="0" w:space="0" w:color="auto"/>
        <w:right w:val="none" w:sz="0" w:space="0" w:color="auto"/>
      </w:divBdr>
      <w:divsChild>
        <w:div w:id="1468889484">
          <w:marLeft w:val="0"/>
          <w:marRight w:val="0"/>
          <w:marTop w:val="0"/>
          <w:marBottom w:val="0"/>
          <w:divBdr>
            <w:top w:val="none" w:sz="0" w:space="0" w:color="auto"/>
            <w:left w:val="none" w:sz="0" w:space="0" w:color="auto"/>
            <w:bottom w:val="none" w:sz="0" w:space="0" w:color="auto"/>
            <w:right w:val="none" w:sz="0" w:space="0" w:color="auto"/>
          </w:divBdr>
        </w:div>
      </w:divsChild>
    </w:div>
    <w:div w:id="471292529">
      <w:bodyDiv w:val="1"/>
      <w:marLeft w:val="0"/>
      <w:marRight w:val="0"/>
      <w:marTop w:val="0"/>
      <w:marBottom w:val="0"/>
      <w:divBdr>
        <w:top w:val="none" w:sz="0" w:space="0" w:color="auto"/>
        <w:left w:val="none" w:sz="0" w:space="0" w:color="auto"/>
        <w:bottom w:val="none" w:sz="0" w:space="0" w:color="auto"/>
        <w:right w:val="none" w:sz="0" w:space="0" w:color="auto"/>
      </w:divBdr>
      <w:divsChild>
        <w:div w:id="194781607">
          <w:marLeft w:val="0"/>
          <w:marRight w:val="0"/>
          <w:marTop w:val="0"/>
          <w:marBottom w:val="0"/>
          <w:divBdr>
            <w:top w:val="none" w:sz="0" w:space="0" w:color="auto"/>
            <w:left w:val="none" w:sz="0" w:space="0" w:color="auto"/>
            <w:bottom w:val="none" w:sz="0" w:space="0" w:color="auto"/>
            <w:right w:val="none" w:sz="0" w:space="0" w:color="auto"/>
          </w:divBdr>
          <w:divsChild>
            <w:div w:id="169174650">
              <w:marLeft w:val="0"/>
              <w:marRight w:val="0"/>
              <w:marTop w:val="0"/>
              <w:marBottom w:val="0"/>
              <w:divBdr>
                <w:top w:val="none" w:sz="0" w:space="0" w:color="auto"/>
                <w:left w:val="none" w:sz="0" w:space="0" w:color="auto"/>
                <w:bottom w:val="none" w:sz="0" w:space="0" w:color="auto"/>
                <w:right w:val="none" w:sz="0" w:space="0" w:color="auto"/>
              </w:divBdr>
              <w:divsChild>
                <w:div w:id="893352425">
                  <w:marLeft w:val="0"/>
                  <w:marRight w:val="0"/>
                  <w:marTop w:val="0"/>
                  <w:marBottom w:val="0"/>
                  <w:divBdr>
                    <w:top w:val="none" w:sz="0" w:space="0" w:color="auto"/>
                    <w:left w:val="none" w:sz="0" w:space="0" w:color="auto"/>
                    <w:bottom w:val="none" w:sz="0" w:space="0" w:color="auto"/>
                    <w:right w:val="none" w:sz="0" w:space="0" w:color="auto"/>
                  </w:divBdr>
                  <w:divsChild>
                    <w:div w:id="174928063">
                      <w:marLeft w:val="0"/>
                      <w:marRight w:val="0"/>
                      <w:marTop w:val="0"/>
                      <w:marBottom w:val="0"/>
                      <w:divBdr>
                        <w:top w:val="none" w:sz="0" w:space="0" w:color="auto"/>
                        <w:left w:val="none" w:sz="0" w:space="0" w:color="auto"/>
                        <w:bottom w:val="none" w:sz="0" w:space="0" w:color="auto"/>
                        <w:right w:val="none" w:sz="0" w:space="0" w:color="auto"/>
                      </w:divBdr>
                      <w:divsChild>
                        <w:div w:id="609356515">
                          <w:marLeft w:val="0"/>
                          <w:marRight w:val="0"/>
                          <w:marTop w:val="0"/>
                          <w:marBottom w:val="0"/>
                          <w:divBdr>
                            <w:top w:val="none" w:sz="0" w:space="0" w:color="auto"/>
                            <w:left w:val="none" w:sz="0" w:space="0" w:color="auto"/>
                            <w:bottom w:val="none" w:sz="0" w:space="0" w:color="auto"/>
                            <w:right w:val="none" w:sz="0" w:space="0" w:color="auto"/>
                          </w:divBdr>
                          <w:divsChild>
                            <w:div w:id="1068072936">
                              <w:marLeft w:val="0"/>
                              <w:marRight w:val="0"/>
                              <w:marTop w:val="0"/>
                              <w:marBottom w:val="0"/>
                              <w:divBdr>
                                <w:top w:val="none" w:sz="0" w:space="0" w:color="auto"/>
                                <w:left w:val="none" w:sz="0" w:space="0" w:color="auto"/>
                                <w:bottom w:val="none" w:sz="0" w:space="0" w:color="auto"/>
                                <w:right w:val="none" w:sz="0" w:space="0" w:color="auto"/>
                              </w:divBdr>
                              <w:divsChild>
                                <w:div w:id="1438066608">
                                  <w:marLeft w:val="0"/>
                                  <w:marRight w:val="0"/>
                                  <w:marTop w:val="0"/>
                                  <w:marBottom w:val="0"/>
                                  <w:divBdr>
                                    <w:top w:val="none" w:sz="0" w:space="0" w:color="auto"/>
                                    <w:left w:val="none" w:sz="0" w:space="0" w:color="auto"/>
                                    <w:bottom w:val="none" w:sz="0" w:space="0" w:color="auto"/>
                                    <w:right w:val="none" w:sz="0" w:space="0" w:color="auto"/>
                                  </w:divBdr>
                                  <w:divsChild>
                                    <w:div w:id="743572122">
                                      <w:marLeft w:val="0"/>
                                      <w:marRight w:val="0"/>
                                      <w:marTop w:val="120"/>
                                      <w:marBottom w:val="0"/>
                                      <w:divBdr>
                                        <w:top w:val="none" w:sz="0" w:space="0" w:color="auto"/>
                                        <w:left w:val="none" w:sz="0" w:space="0" w:color="auto"/>
                                        <w:bottom w:val="none" w:sz="0" w:space="0" w:color="auto"/>
                                        <w:right w:val="none" w:sz="0" w:space="0" w:color="auto"/>
                                      </w:divBdr>
                                    </w:div>
                                    <w:div w:id="1679309276">
                                      <w:marLeft w:val="0"/>
                                      <w:marRight w:val="0"/>
                                      <w:marTop w:val="0"/>
                                      <w:marBottom w:val="0"/>
                                      <w:divBdr>
                                        <w:top w:val="none" w:sz="0" w:space="0" w:color="auto"/>
                                        <w:left w:val="none" w:sz="0" w:space="0" w:color="auto"/>
                                        <w:bottom w:val="none" w:sz="0" w:space="0" w:color="auto"/>
                                        <w:right w:val="none" w:sz="0" w:space="0" w:color="auto"/>
                                      </w:divBdr>
                                    </w:div>
                                  </w:divsChild>
                                </w:div>
                                <w:div w:id="2034570495">
                                  <w:marLeft w:val="0"/>
                                  <w:marRight w:val="0"/>
                                  <w:marTop w:val="0"/>
                                  <w:marBottom w:val="0"/>
                                  <w:divBdr>
                                    <w:top w:val="none" w:sz="0" w:space="0" w:color="auto"/>
                                    <w:left w:val="none" w:sz="0" w:space="0" w:color="auto"/>
                                    <w:bottom w:val="none" w:sz="0" w:space="0" w:color="auto"/>
                                    <w:right w:val="none" w:sz="0" w:space="0" w:color="auto"/>
                                  </w:divBdr>
                                  <w:divsChild>
                                    <w:div w:id="617952069">
                                      <w:marLeft w:val="0"/>
                                      <w:marRight w:val="0"/>
                                      <w:marTop w:val="120"/>
                                      <w:marBottom w:val="0"/>
                                      <w:divBdr>
                                        <w:top w:val="none" w:sz="0" w:space="0" w:color="auto"/>
                                        <w:left w:val="none" w:sz="0" w:space="0" w:color="auto"/>
                                        <w:bottom w:val="none" w:sz="0" w:space="0" w:color="auto"/>
                                        <w:right w:val="none" w:sz="0" w:space="0" w:color="auto"/>
                                      </w:divBdr>
                                    </w:div>
                                    <w:div w:id="135420530">
                                      <w:marLeft w:val="0"/>
                                      <w:marRight w:val="0"/>
                                      <w:marTop w:val="0"/>
                                      <w:marBottom w:val="0"/>
                                      <w:divBdr>
                                        <w:top w:val="none" w:sz="0" w:space="0" w:color="auto"/>
                                        <w:left w:val="none" w:sz="0" w:space="0" w:color="auto"/>
                                        <w:bottom w:val="none" w:sz="0" w:space="0" w:color="auto"/>
                                        <w:right w:val="none" w:sz="0" w:space="0" w:color="auto"/>
                                      </w:divBdr>
                                    </w:div>
                                  </w:divsChild>
                                </w:div>
                                <w:div w:id="500006627">
                                  <w:marLeft w:val="0"/>
                                  <w:marRight w:val="0"/>
                                  <w:marTop w:val="0"/>
                                  <w:marBottom w:val="0"/>
                                  <w:divBdr>
                                    <w:top w:val="none" w:sz="0" w:space="0" w:color="auto"/>
                                    <w:left w:val="none" w:sz="0" w:space="0" w:color="auto"/>
                                    <w:bottom w:val="none" w:sz="0" w:space="0" w:color="auto"/>
                                    <w:right w:val="none" w:sz="0" w:space="0" w:color="auto"/>
                                  </w:divBdr>
                                  <w:divsChild>
                                    <w:div w:id="163130105">
                                      <w:marLeft w:val="0"/>
                                      <w:marRight w:val="0"/>
                                      <w:marTop w:val="120"/>
                                      <w:marBottom w:val="0"/>
                                      <w:divBdr>
                                        <w:top w:val="none" w:sz="0" w:space="0" w:color="auto"/>
                                        <w:left w:val="none" w:sz="0" w:space="0" w:color="auto"/>
                                        <w:bottom w:val="none" w:sz="0" w:space="0" w:color="auto"/>
                                        <w:right w:val="none" w:sz="0" w:space="0" w:color="auto"/>
                                      </w:divBdr>
                                    </w:div>
                                    <w:div w:id="467165495">
                                      <w:marLeft w:val="0"/>
                                      <w:marRight w:val="0"/>
                                      <w:marTop w:val="0"/>
                                      <w:marBottom w:val="0"/>
                                      <w:divBdr>
                                        <w:top w:val="none" w:sz="0" w:space="0" w:color="auto"/>
                                        <w:left w:val="none" w:sz="0" w:space="0" w:color="auto"/>
                                        <w:bottom w:val="none" w:sz="0" w:space="0" w:color="auto"/>
                                        <w:right w:val="none" w:sz="0" w:space="0" w:color="auto"/>
                                      </w:divBdr>
                                    </w:div>
                                  </w:divsChild>
                                </w:div>
                                <w:div w:id="1408262009">
                                  <w:marLeft w:val="0"/>
                                  <w:marRight w:val="0"/>
                                  <w:marTop w:val="0"/>
                                  <w:marBottom w:val="0"/>
                                  <w:divBdr>
                                    <w:top w:val="none" w:sz="0" w:space="0" w:color="auto"/>
                                    <w:left w:val="none" w:sz="0" w:space="0" w:color="auto"/>
                                    <w:bottom w:val="none" w:sz="0" w:space="0" w:color="auto"/>
                                    <w:right w:val="none" w:sz="0" w:space="0" w:color="auto"/>
                                  </w:divBdr>
                                  <w:divsChild>
                                    <w:div w:id="2064863357">
                                      <w:marLeft w:val="0"/>
                                      <w:marRight w:val="0"/>
                                      <w:marTop w:val="120"/>
                                      <w:marBottom w:val="0"/>
                                      <w:divBdr>
                                        <w:top w:val="none" w:sz="0" w:space="0" w:color="auto"/>
                                        <w:left w:val="none" w:sz="0" w:space="0" w:color="auto"/>
                                        <w:bottom w:val="none" w:sz="0" w:space="0" w:color="auto"/>
                                        <w:right w:val="none" w:sz="0" w:space="0" w:color="auto"/>
                                      </w:divBdr>
                                    </w:div>
                                    <w:div w:id="174876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008612">
                          <w:marLeft w:val="0"/>
                          <w:marRight w:val="0"/>
                          <w:marTop w:val="0"/>
                          <w:marBottom w:val="0"/>
                          <w:divBdr>
                            <w:top w:val="none" w:sz="0" w:space="0" w:color="auto"/>
                            <w:left w:val="none" w:sz="0" w:space="0" w:color="auto"/>
                            <w:bottom w:val="none" w:sz="0" w:space="0" w:color="auto"/>
                            <w:right w:val="none" w:sz="0" w:space="0" w:color="auto"/>
                          </w:divBdr>
                          <w:divsChild>
                            <w:div w:id="723330720">
                              <w:marLeft w:val="0"/>
                              <w:marRight w:val="0"/>
                              <w:marTop w:val="0"/>
                              <w:marBottom w:val="0"/>
                              <w:divBdr>
                                <w:top w:val="none" w:sz="0" w:space="0" w:color="auto"/>
                                <w:left w:val="none" w:sz="0" w:space="0" w:color="auto"/>
                                <w:bottom w:val="none" w:sz="0" w:space="0" w:color="auto"/>
                                <w:right w:val="none" w:sz="0" w:space="0" w:color="auto"/>
                              </w:divBdr>
                            </w:div>
                          </w:divsChild>
                        </w:div>
                        <w:div w:id="1311179496">
                          <w:marLeft w:val="0"/>
                          <w:marRight w:val="0"/>
                          <w:marTop w:val="0"/>
                          <w:marBottom w:val="0"/>
                          <w:divBdr>
                            <w:top w:val="none" w:sz="0" w:space="0" w:color="auto"/>
                            <w:left w:val="none" w:sz="0" w:space="0" w:color="auto"/>
                            <w:bottom w:val="none" w:sz="0" w:space="0" w:color="auto"/>
                            <w:right w:val="none" w:sz="0" w:space="0" w:color="auto"/>
                          </w:divBdr>
                          <w:divsChild>
                            <w:div w:id="1250963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847029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7642081">
      <w:bodyDiv w:val="1"/>
      <w:marLeft w:val="0"/>
      <w:marRight w:val="0"/>
      <w:marTop w:val="0"/>
      <w:marBottom w:val="0"/>
      <w:divBdr>
        <w:top w:val="none" w:sz="0" w:space="0" w:color="auto"/>
        <w:left w:val="none" w:sz="0" w:space="0" w:color="auto"/>
        <w:bottom w:val="none" w:sz="0" w:space="0" w:color="auto"/>
        <w:right w:val="none" w:sz="0" w:space="0" w:color="auto"/>
      </w:divBdr>
      <w:divsChild>
        <w:div w:id="366881182">
          <w:marLeft w:val="0"/>
          <w:marRight w:val="0"/>
          <w:marTop w:val="0"/>
          <w:marBottom w:val="0"/>
          <w:divBdr>
            <w:top w:val="none" w:sz="0" w:space="0" w:color="auto"/>
            <w:left w:val="none" w:sz="0" w:space="0" w:color="auto"/>
            <w:bottom w:val="none" w:sz="0" w:space="0" w:color="auto"/>
            <w:right w:val="none" w:sz="0" w:space="0" w:color="auto"/>
          </w:divBdr>
          <w:divsChild>
            <w:div w:id="1587418761">
              <w:marLeft w:val="0"/>
              <w:marRight w:val="0"/>
              <w:marTop w:val="0"/>
              <w:marBottom w:val="0"/>
              <w:divBdr>
                <w:top w:val="none" w:sz="0" w:space="0" w:color="auto"/>
                <w:left w:val="none" w:sz="0" w:space="0" w:color="auto"/>
                <w:bottom w:val="none" w:sz="0" w:space="0" w:color="auto"/>
                <w:right w:val="none" w:sz="0" w:space="0" w:color="auto"/>
              </w:divBdr>
              <w:divsChild>
                <w:div w:id="2022270562">
                  <w:marLeft w:val="0"/>
                  <w:marRight w:val="0"/>
                  <w:marTop w:val="0"/>
                  <w:marBottom w:val="0"/>
                  <w:divBdr>
                    <w:top w:val="none" w:sz="0" w:space="0" w:color="auto"/>
                    <w:left w:val="none" w:sz="0" w:space="0" w:color="auto"/>
                    <w:bottom w:val="none" w:sz="0" w:space="0" w:color="auto"/>
                    <w:right w:val="none" w:sz="0" w:space="0" w:color="auto"/>
                  </w:divBdr>
                  <w:divsChild>
                    <w:div w:id="968976154">
                      <w:marLeft w:val="0"/>
                      <w:marRight w:val="0"/>
                      <w:marTop w:val="0"/>
                      <w:marBottom w:val="0"/>
                      <w:divBdr>
                        <w:top w:val="none" w:sz="0" w:space="0" w:color="auto"/>
                        <w:left w:val="none" w:sz="0" w:space="0" w:color="auto"/>
                        <w:bottom w:val="none" w:sz="0" w:space="0" w:color="auto"/>
                        <w:right w:val="none" w:sz="0" w:space="0" w:color="auto"/>
                      </w:divBdr>
                      <w:divsChild>
                        <w:div w:id="1276984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4114707">
      <w:bodyDiv w:val="1"/>
      <w:marLeft w:val="0"/>
      <w:marRight w:val="0"/>
      <w:marTop w:val="0"/>
      <w:marBottom w:val="0"/>
      <w:divBdr>
        <w:top w:val="none" w:sz="0" w:space="0" w:color="auto"/>
        <w:left w:val="none" w:sz="0" w:space="0" w:color="auto"/>
        <w:bottom w:val="none" w:sz="0" w:space="0" w:color="auto"/>
        <w:right w:val="none" w:sz="0" w:space="0" w:color="auto"/>
      </w:divBdr>
    </w:div>
    <w:div w:id="609168672">
      <w:bodyDiv w:val="1"/>
      <w:marLeft w:val="0"/>
      <w:marRight w:val="0"/>
      <w:marTop w:val="0"/>
      <w:marBottom w:val="0"/>
      <w:divBdr>
        <w:top w:val="none" w:sz="0" w:space="0" w:color="auto"/>
        <w:left w:val="none" w:sz="0" w:space="0" w:color="auto"/>
        <w:bottom w:val="none" w:sz="0" w:space="0" w:color="auto"/>
        <w:right w:val="none" w:sz="0" w:space="0" w:color="auto"/>
      </w:divBdr>
      <w:divsChild>
        <w:div w:id="596062192">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6637898">
      <w:bodyDiv w:val="1"/>
      <w:marLeft w:val="0"/>
      <w:marRight w:val="0"/>
      <w:marTop w:val="0"/>
      <w:marBottom w:val="0"/>
      <w:divBdr>
        <w:top w:val="none" w:sz="0" w:space="0" w:color="auto"/>
        <w:left w:val="none" w:sz="0" w:space="0" w:color="auto"/>
        <w:bottom w:val="none" w:sz="0" w:space="0" w:color="auto"/>
        <w:right w:val="none" w:sz="0" w:space="0" w:color="auto"/>
      </w:divBdr>
      <w:divsChild>
        <w:div w:id="143165686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6551735">
      <w:bodyDiv w:val="1"/>
      <w:marLeft w:val="0"/>
      <w:marRight w:val="0"/>
      <w:marTop w:val="0"/>
      <w:marBottom w:val="0"/>
      <w:divBdr>
        <w:top w:val="none" w:sz="0" w:space="0" w:color="auto"/>
        <w:left w:val="none" w:sz="0" w:space="0" w:color="auto"/>
        <w:bottom w:val="none" w:sz="0" w:space="0" w:color="auto"/>
        <w:right w:val="none" w:sz="0" w:space="0" w:color="auto"/>
      </w:divBdr>
      <w:divsChild>
        <w:div w:id="1979190491">
          <w:marLeft w:val="0"/>
          <w:marRight w:val="0"/>
          <w:marTop w:val="0"/>
          <w:marBottom w:val="0"/>
          <w:divBdr>
            <w:top w:val="none" w:sz="0" w:space="0" w:color="auto"/>
            <w:left w:val="none" w:sz="0" w:space="0" w:color="auto"/>
            <w:bottom w:val="none" w:sz="0" w:space="0" w:color="auto"/>
            <w:right w:val="none" w:sz="0" w:space="0" w:color="auto"/>
          </w:divBdr>
        </w:div>
      </w:divsChild>
    </w:div>
    <w:div w:id="873153335">
      <w:bodyDiv w:val="1"/>
      <w:marLeft w:val="0"/>
      <w:marRight w:val="0"/>
      <w:marTop w:val="0"/>
      <w:marBottom w:val="0"/>
      <w:divBdr>
        <w:top w:val="none" w:sz="0" w:space="0" w:color="auto"/>
        <w:left w:val="none" w:sz="0" w:space="0" w:color="auto"/>
        <w:bottom w:val="none" w:sz="0" w:space="0" w:color="auto"/>
        <w:right w:val="none" w:sz="0" w:space="0" w:color="auto"/>
      </w:divBdr>
    </w:div>
    <w:div w:id="945698337">
      <w:bodyDiv w:val="1"/>
      <w:marLeft w:val="0"/>
      <w:marRight w:val="0"/>
      <w:marTop w:val="0"/>
      <w:marBottom w:val="0"/>
      <w:divBdr>
        <w:top w:val="none" w:sz="0" w:space="0" w:color="auto"/>
        <w:left w:val="none" w:sz="0" w:space="0" w:color="auto"/>
        <w:bottom w:val="none" w:sz="0" w:space="0" w:color="auto"/>
        <w:right w:val="none" w:sz="0" w:space="0" w:color="auto"/>
      </w:divBdr>
      <w:divsChild>
        <w:div w:id="845903742">
          <w:marLeft w:val="0"/>
          <w:marRight w:val="0"/>
          <w:marTop w:val="0"/>
          <w:marBottom w:val="0"/>
          <w:divBdr>
            <w:top w:val="none" w:sz="0" w:space="0" w:color="auto"/>
            <w:left w:val="none" w:sz="0" w:space="0" w:color="auto"/>
            <w:bottom w:val="none" w:sz="0" w:space="0" w:color="auto"/>
            <w:right w:val="none" w:sz="0" w:space="0" w:color="auto"/>
          </w:divBdr>
        </w:div>
      </w:divsChild>
    </w:div>
    <w:div w:id="96358274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2053229">
      <w:bodyDiv w:val="1"/>
      <w:marLeft w:val="0"/>
      <w:marRight w:val="0"/>
      <w:marTop w:val="0"/>
      <w:marBottom w:val="0"/>
      <w:divBdr>
        <w:top w:val="none" w:sz="0" w:space="0" w:color="auto"/>
        <w:left w:val="none" w:sz="0" w:space="0" w:color="auto"/>
        <w:bottom w:val="none" w:sz="0" w:space="0" w:color="auto"/>
        <w:right w:val="none" w:sz="0" w:space="0" w:color="auto"/>
      </w:divBdr>
    </w:div>
    <w:div w:id="1347755723">
      <w:bodyDiv w:val="1"/>
      <w:marLeft w:val="0"/>
      <w:marRight w:val="0"/>
      <w:marTop w:val="0"/>
      <w:marBottom w:val="0"/>
      <w:divBdr>
        <w:top w:val="none" w:sz="0" w:space="0" w:color="auto"/>
        <w:left w:val="none" w:sz="0" w:space="0" w:color="auto"/>
        <w:bottom w:val="none" w:sz="0" w:space="0" w:color="auto"/>
        <w:right w:val="none" w:sz="0" w:space="0" w:color="auto"/>
      </w:divBdr>
    </w:div>
    <w:div w:id="1375352203">
      <w:bodyDiv w:val="1"/>
      <w:marLeft w:val="0"/>
      <w:marRight w:val="0"/>
      <w:marTop w:val="0"/>
      <w:marBottom w:val="0"/>
      <w:divBdr>
        <w:top w:val="none" w:sz="0" w:space="0" w:color="auto"/>
        <w:left w:val="none" w:sz="0" w:space="0" w:color="auto"/>
        <w:bottom w:val="none" w:sz="0" w:space="0" w:color="auto"/>
        <w:right w:val="none" w:sz="0" w:space="0" w:color="auto"/>
      </w:divBdr>
    </w:div>
    <w:div w:id="1462848422">
      <w:bodyDiv w:val="1"/>
      <w:marLeft w:val="0"/>
      <w:marRight w:val="0"/>
      <w:marTop w:val="0"/>
      <w:marBottom w:val="0"/>
      <w:divBdr>
        <w:top w:val="none" w:sz="0" w:space="0" w:color="auto"/>
        <w:left w:val="none" w:sz="0" w:space="0" w:color="auto"/>
        <w:bottom w:val="none" w:sz="0" w:space="0" w:color="auto"/>
        <w:right w:val="none" w:sz="0" w:space="0" w:color="auto"/>
      </w:divBdr>
    </w:div>
    <w:div w:id="1560940560">
      <w:bodyDiv w:val="1"/>
      <w:marLeft w:val="0"/>
      <w:marRight w:val="0"/>
      <w:marTop w:val="0"/>
      <w:marBottom w:val="0"/>
      <w:divBdr>
        <w:top w:val="none" w:sz="0" w:space="0" w:color="auto"/>
        <w:left w:val="none" w:sz="0" w:space="0" w:color="auto"/>
        <w:bottom w:val="none" w:sz="0" w:space="0" w:color="auto"/>
        <w:right w:val="none" w:sz="0" w:space="0" w:color="auto"/>
      </w:divBdr>
    </w:div>
    <w:div w:id="1619527244">
      <w:bodyDiv w:val="1"/>
      <w:marLeft w:val="0"/>
      <w:marRight w:val="0"/>
      <w:marTop w:val="0"/>
      <w:marBottom w:val="0"/>
      <w:divBdr>
        <w:top w:val="none" w:sz="0" w:space="0" w:color="auto"/>
        <w:left w:val="none" w:sz="0" w:space="0" w:color="auto"/>
        <w:bottom w:val="none" w:sz="0" w:space="0" w:color="auto"/>
        <w:right w:val="none" w:sz="0" w:space="0" w:color="auto"/>
      </w:divBdr>
      <w:divsChild>
        <w:div w:id="986083155">
          <w:marLeft w:val="0"/>
          <w:marRight w:val="0"/>
          <w:marTop w:val="0"/>
          <w:marBottom w:val="0"/>
          <w:divBdr>
            <w:top w:val="none" w:sz="0" w:space="0" w:color="auto"/>
            <w:left w:val="none" w:sz="0" w:space="0" w:color="auto"/>
            <w:bottom w:val="none" w:sz="0" w:space="0" w:color="auto"/>
            <w:right w:val="none" w:sz="0" w:space="0" w:color="auto"/>
          </w:divBdr>
        </w:div>
        <w:div w:id="1666401024">
          <w:marLeft w:val="0"/>
          <w:marRight w:val="0"/>
          <w:marTop w:val="0"/>
          <w:marBottom w:val="0"/>
          <w:divBdr>
            <w:top w:val="none" w:sz="0" w:space="0" w:color="auto"/>
            <w:left w:val="none" w:sz="0" w:space="0" w:color="auto"/>
            <w:bottom w:val="none" w:sz="0" w:space="0" w:color="auto"/>
            <w:right w:val="none" w:sz="0" w:space="0" w:color="auto"/>
          </w:divBdr>
        </w:div>
      </w:divsChild>
    </w:div>
    <w:div w:id="1657611013">
      <w:bodyDiv w:val="1"/>
      <w:marLeft w:val="0"/>
      <w:marRight w:val="0"/>
      <w:marTop w:val="0"/>
      <w:marBottom w:val="0"/>
      <w:divBdr>
        <w:top w:val="none" w:sz="0" w:space="0" w:color="auto"/>
        <w:left w:val="none" w:sz="0" w:space="0" w:color="auto"/>
        <w:bottom w:val="none" w:sz="0" w:space="0" w:color="auto"/>
        <w:right w:val="none" w:sz="0" w:space="0" w:color="auto"/>
      </w:divBdr>
    </w:div>
    <w:div w:id="179451397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8522402">
      <w:bodyDiv w:val="1"/>
      <w:marLeft w:val="0"/>
      <w:marRight w:val="0"/>
      <w:marTop w:val="0"/>
      <w:marBottom w:val="0"/>
      <w:divBdr>
        <w:top w:val="none" w:sz="0" w:space="0" w:color="auto"/>
        <w:left w:val="none" w:sz="0" w:space="0" w:color="auto"/>
        <w:bottom w:val="none" w:sz="0" w:space="0" w:color="auto"/>
        <w:right w:val="none" w:sz="0" w:space="0" w:color="auto"/>
      </w:divBdr>
      <w:divsChild>
        <w:div w:id="1439374586">
          <w:marLeft w:val="0"/>
          <w:marRight w:val="0"/>
          <w:marTop w:val="0"/>
          <w:marBottom w:val="0"/>
          <w:divBdr>
            <w:top w:val="none" w:sz="0" w:space="0" w:color="auto"/>
            <w:left w:val="none" w:sz="0" w:space="0" w:color="auto"/>
            <w:bottom w:val="none" w:sz="0" w:space="0" w:color="auto"/>
            <w:right w:val="none" w:sz="0" w:space="0" w:color="auto"/>
          </w:divBdr>
        </w:div>
      </w:divsChild>
    </w:div>
    <w:div w:id="1891964464">
      <w:bodyDiv w:val="1"/>
      <w:marLeft w:val="0"/>
      <w:marRight w:val="0"/>
      <w:marTop w:val="0"/>
      <w:marBottom w:val="0"/>
      <w:divBdr>
        <w:top w:val="none" w:sz="0" w:space="0" w:color="auto"/>
        <w:left w:val="none" w:sz="0" w:space="0" w:color="auto"/>
        <w:bottom w:val="none" w:sz="0" w:space="0" w:color="auto"/>
        <w:right w:val="none" w:sz="0" w:space="0" w:color="auto"/>
      </w:divBdr>
      <w:divsChild>
        <w:div w:id="809205371">
          <w:marLeft w:val="0"/>
          <w:marRight w:val="0"/>
          <w:marTop w:val="0"/>
          <w:marBottom w:val="0"/>
          <w:divBdr>
            <w:top w:val="none" w:sz="0" w:space="0" w:color="auto"/>
            <w:left w:val="none" w:sz="0" w:space="0" w:color="auto"/>
            <w:bottom w:val="none" w:sz="0" w:space="0" w:color="auto"/>
            <w:right w:val="none" w:sz="0" w:space="0" w:color="auto"/>
          </w:divBdr>
          <w:divsChild>
            <w:div w:id="1506556893">
              <w:marLeft w:val="0"/>
              <w:marRight w:val="0"/>
              <w:marTop w:val="0"/>
              <w:marBottom w:val="0"/>
              <w:divBdr>
                <w:top w:val="none" w:sz="0" w:space="0" w:color="auto"/>
                <w:left w:val="none" w:sz="0" w:space="0" w:color="auto"/>
                <w:bottom w:val="none" w:sz="0" w:space="0" w:color="auto"/>
                <w:right w:val="none" w:sz="0" w:space="0" w:color="auto"/>
              </w:divBdr>
            </w:div>
          </w:divsChild>
        </w:div>
        <w:div w:id="1485198118">
          <w:marLeft w:val="0"/>
          <w:marRight w:val="0"/>
          <w:marTop w:val="0"/>
          <w:marBottom w:val="0"/>
          <w:divBdr>
            <w:top w:val="none" w:sz="0" w:space="0" w:color="auto"/>
            <w:left w:val="none" w:sz="0" w:space="0" w:color="auto"/>
            <w:bottom w:val="none" w:sz="0" w:space="0" w:color="auto"/>
            <w:right w:val="none" w:sz="0" w:space="0" w:color="auto"/>
          </w:divBdr>
          <w:divsChild>
            <w:div w:id="861824626">
              <w:marLeft w:val="0"/>
              <w:marRight w:val="0"/>
              <w:marTop w:val="0"/>
              <w:marBottom w:val="0"/>
              <w:divBdr>
                <w:top w:val="none" w:sz="0" w:space="0" w:color="auto"/>
                <w:left w:val="none" w:sz="0" w:space="0" w:color="auto"/>
                <w:bottom w:val="none" w:sz="0" w:space="0" w:color="auto"/>
                <w:right w:val="none" w:sz="0" w:space="0" w:color="auto"/>
              </w:divBdr>
              <w:divsChild>
                <w:div w:id="1389913537">
                  <w:marLeft w:val="0"/>
                  <w:marRight w:val="0"/>
                  <w:marTop w:val="0"/>
                  <w:marBottom w:val="0"/>
                  <w:divBdr>
                    <w:top w:val="none" w:sz="0" w:space="0" w:color="auto"/>
                    <w:left w:val="none" w:sz="0" w:space="0" w:color="auto"/>
                    <w:bottom w:val="none" w:sz="0" w:space="0" w:color="auto"/>
                    <w:right w:val="none" w:sz="0" w:space="0" w:color="auto"/>
                  </w:divBdr>
                  <w:divsChild>
                    <w:div w:id="1412847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3300511">
      <w:bodyDiv w:val="1"/>
      <w:marLeft w:val="0"/>
      <w:marRight w:val="0"/>
      <w:marTop w:val="0"/>
      <w:marBottom w:val="0"/>
      <w:divBdr>
        <w:top w:val="none" w:sz="0" w:space="0" w:color="auto"/>
        <w:left w:val="none" w:sz="0" w:space="0" w:color="auto"/>
        <w:bottom w:val="none" w:sz="0" w:space="0" w:color="auto"/>
        <w:right w:val="none" w:sz="0" w:space="0" w:color="auto"/>
      </w:divBdr>
      <w:divsChild>
        <w:div w:id="902907215">
          <w:marLeft w:val="0"/>
          <w:marRight w:val="0"/>
          <w:marTop w:val="0"/>
          <w:marBottom w:val="0"/>
          <w:divBdr>
            <w:top w:val="none" w:sz="0" w:space="0" w:color="auto"/>
            <w:left w:val="none" w:sz="0" w:space="0" w:color="auto"/>
            <w:bottom w:val="none" w:sz="0" w:space="0" w:color="auto"/>
            <w:right w:val="none" w:sz="0" w:space="0" w:color="auto"/>
          </w:divBdr>
        </w:div>
      </w:divsChild>
    </w:div>
    <w:div w:id="204127523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4235587">
      <w:bodyDiv w:val="1"/>
      <w:marLeft w:val="0"/>
      <w:marRight w:val="0"/>
      <w:marTop w:val="0"/>
      <w:marBottom w:val="0"/>
      <w:divBdr>
        <w:top w:val="none" w:sz="0" w:space="0" w:color="auto"/>
        <w:left w:val="none" w:sz="0" w:space="0" w:color="auto"/>
        <w:bottom w:val="none" w:sz="0" w:space="0" w:color="auto"/>
        <w:right w:val="none" w:sz="0" w:space="0" w:color="auto"/>
      </w:divBdr>
      <w:divsChild>
        <w:div w:id="10274820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4082419/https://eur-lex.europa.eu/eli/dir/2019/2034/oj/eng" TargetMode="External"/><Relationship Id="rId26" Type="http://schemas.openxmlformats.org/officeDocument/2006/relationships/hyperlink" Target="https://eur-lex.europa.eu/eli/reg/2013/575/oj?locale=fr" TargetMode="External"/><Relationship Id="rId3" Type="http://schemas.openxmlformats.org/officeDocument/2006/relationships/customXml" Target="../customXml/item3.xml"/><Relationship Id="rId21" Type="http://schemas.openxmlformats.org/officeDocument/2006/relationships/hyperlink" Target="https://eur-lex.europa.eu/legal-content/EN/TXT/?uri=celex%3A32021R2284"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4101701/https://eur-lex.europa.eu/legal-content/EN/TXT/?uri=CELEX%3A02019R2033-20240109" TargetMode="External"/><Relationship Id="rId25" Type="http://schemas.openxmlformats.org/officeDocument/2006/relationships/hyperlink" Target="https://eur-lex.europa.eu/legal-content/en/TXT/?uri=CELEX%3A32014L006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27145058/https://www.eba.europa.eu/sites/default/files/document_library/Publications/Reports/2023/1062711/Report%20on%20the%20role%20of%20environmental%20and%20social%20risks%20in%20the%20prudential%20framework.pdf"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eur-lex.europa.eu/eli/dir/2019/2034/oj/eng"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40629115018/https:/eur-lex.europa.eu/legal-content/EN/TXT/?uri=celex%3A32021R228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 Id="rId27" Type="http://schemas.openxmlformats.org/officeDocument/2006/relationships/hyperlink" Target="https://www.eba.europa.eu/homepage"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205</TotalTime>
  <Pages>120</Pages>
  <Words>26372</Words>
  <Characters>150321</Characters>
  <Application>Microsoft Office Word</Application>
  <DocSecurity>0</DocSecurity>
  <Lines>1252</Lines>
  <Paragraphs>352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176341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Azaïs, Eléonore</cp:lastModifiedBy>
  <cp:revision>12</cp:revision>
  <cp:lastPrinted>2025-03-21T00:14:00Z</cp:lastPrinted>
  <dcterms:created xsi:type="dcterms:W3CDTF">2025-07-08T17:01:00Z</dcterms:created>
  <dcterms:modified xsi:type="dcterms:W3CDTF">2025-08-01T15:01:00Z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